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98506F8" w:rsidR="00CD4C7B" w:rsidRPr="00B266B0" w:rsidRDefault="0023670B" w:rsidP="00CD4C7B">
      <w:pPr>
        <w:pStyle w:val="Header"/>
        <w:tabs>
          <w:tab w:val="right" w:pos="9639"/>
        </w:tabs>
        <w:rPr>
          <w:bCs/>
          <w:i/>
          <w:noProof w:val="0"/>
          <w:sz w:val="24"/>
          <w:szCs w:val="24"/>
        </w:rPr>
      </w:pPr>
      <w:r w:rsidRPr="0023670B">
        <w:rPr>
          <w:bCs/>
          <w:noProof w:val="0"/>
          <w:sz w:val="24"/>
          <w:szCs w:val="24"/>
        </w:rPr>
        <w:t>3GPP TSG-RAN Plenary#82</w:t>
      </w:r>
      <w:r w:rsidR="00CD4C7B" w:rsidRPr="00B266B0">
        <w:rPr>
          <w:bCs/>
          <w:noProof w:val="0"/>
          <w:sz w:val="24"/>
          <w:szCs w:val="24"/>
        </w:rPr>
        <w:tab/>
      </w:r>
      <w:r w:rsidR="00B43A27">
        <w:rPr>
          <w:bCs/>
          <w:noProof w:val="0"/>
          <w:sz w:val="24"/>
          <w:szCs w:val="24"/>
        </w:rPr>
        <w:t>RP-1827</w:t>
      </w:r>
      <w:r w:rsidR="00C51B4A">
        <w:rPr>
          <w:bCs/>
          <w:noProof w:val="0"/>
          <w:sz w:val="24"/>
          <w:szCs w:val="24"/>
        </w:rPr>
        <w:t>19</w:t>
      </w:r>
      <w:bookmarkStart w:id="0" w:name="_GoBack"/>
      <w:bookmarkEnd w:id="0"/>
      <w:r w:rsidR="007C0714" w:rsidRPr="007C0714">
        <w:rPr>
          <w:bCs/>
          <w:noProof w:val="0"/>
          <w:sz w:val="24"/>
          <w:szCs w:val="24"/>
        </w:rPr>
        <w:t xml:space="preserve">    </w:t>
      </w:r>
    </w:p>
    <w:p w14:paraId="231362B2" w14:textId="261344D2" w:rsidR="00CD4C7B" w:rsidRPr="00B266B0" w:rsidRDefault="0023670B" w:rsidP="00CD4C7B">
      <w:pPr>
        <w:pStyle w:val="Header"/>
        <w:tabs>
          <w:tab w:val="right" w:pos="9639"/>
        </w:tabs>
        <w:rPr>
          <w:bCs/>
          <w:noProof w:val="0"/>
          <w:sz w:val="24"/>
          <w:szCs w:val="24"/>
        </w:rPr>
      </w:pPr>
      <w:r w:rsidRPr="0023670B">
        <w:rPr>
          <w:bCs/>
          <w:noProof w:val="0"/>
          <w:sz w:val="24"/>
          <w:szCs w:val="24"/>
        </w:rPr>
        <w:t>Sorrento, Italy, December 10-13, 2018</w:t>
      </w:r>
      <w:r w:rsidR="00364B41">
        <w:rPr>
          <w:rFonts w:eastAsia="SimSun"/>
          <w:noProof w:val="0"/>
          <w:sz w:val="24"/>
          <w:szCs w:val="24"/>
          <w:lang w:eastAsia="zh-CN"/>
        </w:rPr>
        <w:tab/>
      </w:r>
    </w:p>
    <w:p w14:paraId="5FA54C5C" w14:textId="4C43E529" w:rsidR="0023670B" w:rsidRPr="00B266B0" w:rsidRDefault="0023670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B9D0A6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074F">
        <w:rPr>
          <w:rFonts w:cs="Arial"/>
          <w:b/>
          <w:bCs/>
          <w:sz w:val="24"/>
        </w:rPr>
        <w:t>9.2.1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214311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670B" w:rsidRPr="0023670B">
        <w:rPr>
          <w:rFonts w:ascii="Arial" w:hAnsi="Arial" w:cs="Arial"/>
          <w:b/>
          <w:bCs/>
          <w:sz w:val="24"/>
        </w:rPr>
        <w:t xml:space="preserve">Clarification of Sept 2018 </w:t>
      </w:r>
      <w:r w:rsidR="007A0FDA" w:rsidRPr="0023670B">
        <w:rPr>
          <w:rFonts w:ascii="Arial" w:hAnsi="Arial" w:cs="Arial"/>
          <w:b/>
          <w:bCs/>
          <w:sz w:val="24"/>
        </w:rPr>
        <w:t xml:space="preserve">TS 38.331 </w:t>
      </w:r>
      <w:r w:rsidR="0023670B" w:rsidRPr="0023670B">
        <w:rPr>
          <w:rFonts w:ascii="Arial" w:hAnsi="Arial" w:cs="Arial"/>
          <w:b/>
          <w:bCs/>
          <w:sz w:val="24"/>
        </w:rPr>
        <w:t>(V15.3.0) with respect to “if the UE is operating in EN-DC”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401115D" w14:textId="56823303" w:rsidR="0023670B" w:rsidRDefault="0023670B" w:rsidP="00CD4C7B">
      <w:r w:rsidRPr="0023670B">
        <w:t xml:space="preserve">In Sept 2018 </w:t>
      </w:r>
      <w:r w:rsidR="007A0FDA" w:rsidRPr="0023670B">
        <w:t xml:space="preserve">TS 38.331 </w:t>
      </w:r>
      <w:r w:rsidRPr="0023670B">
        <w:t>(V15.3.0</w:t>
      </w:r>
      <w:r w:rsidR="00823AC8">
        <w:t xml:space="preserve"> [1]</w:t>
      </w:r>
      <w:r w:rsidRPr="0023670B">
        <w:t xml:space="preserve">), the text “if the UE is operating in EN-DC” </w:t>
      </w:r>
      <w:r>
        <w:t>(</w:t>
      </w:r>
      <w:r w:rsidRPr="0023670B">
        <w:t>a generic phrase to distinguish</w:t>
      </w:r>
      <w:r>
        <w:t xml:space="preserve"> EN-DC</w:t>
      </w:r>
      <w:r w:rsidRPr="0023670B">
        <w:t xml:space="preserve"> from stand-alone operation</w:t>
      </w:r>
      <w:r>
        <w:t>)</w:t>
      </w:r>
      <w:r w:rsidRPr="0023670B">
        <w:t xml:space="preserve"> was introduced in R2-1812411</w:t>
      </w:r>
      <w:r w:rsidR="00B4039E">
        <w:t xml:space="preserve"> [4]</w:t>
      </w:r>
      <w:r w:rsidRPr="0023670B">
        <w:t xml:space="preserve"> titled “Introduction of SA”.</w:t>
      </w:r>
      <w:r>
        <w:t xml:space="preserve"> In addition, </w:t>
      </w:r>
      <w:r w:rsidRPr="0023670B">
        <w:t>R2-1818854</w:t>
      </w:r>
      <w:r w:rsidR="00B4039E">
        <w:t xml:space="preserve"> [3]</w:t>
      </w:r>
      <w:r w:rsidRPr="0023670B">
        <w:t xml:space="preserve"> </w:t>
      </w:r>
      <w:r>
        <w:t>was agreed in RAN2#104 (Spokane) to provide a generic description of what</w:t>
      </w:r>
      <w:r w:rsidRPr="0023670B">
        <w:t xml:space="preserve"> the text “if the UE is operating in EN-DC”</w:t>
      </w:r>
      <w:r>
        <w:t xml:space="preserve"> implies in practise as TS 38.331 is concerned.</w:t>
      </w:r>
    </w:p>
    <w:p w14:paraId="695BEB85" w14:textId="5BC46EEF" w:rsidR="0023670B" w:rsidRDefault="0023670B" w:rsidP="0023670B">
      <w:r>
        <w:t xml:space="preserve">In this contribution, we summarize an offline discussion on some possible misunderstanding arising from </w:t>
      </w:r>
      <w:r w:rsidRPr="0023670B">
        <w:t>the text “if the UE is operating in EN-DC”</w:t>
      </w:r>
      <w:r>
        <w:t>.</w:t>
      </w:r>
    </w:p>
    <w:p w14:paraId="127ACA6D" w14:textId="2AC87748" w:rsidR="00CD4C7B" w:rsidRPr="006E13D1" w:rsidRDefault="00CD4C7B" w:rsidP="00CD4C7B">
      <w:pPr>
        <w:pStyle w:val="Heading1"/>
      </w:pPr>
      <w:r w:rsidRPr="006E13D1">
        <w:t>2</w:t>
      </w:r>
      <w:r w:rsidRPr="006E13D1">
        <w:tab/>
      </w:r>
      <w:r w:rsidR="00AB2CFA">
        <w:t>Background</w:t>
      </w:r>
    </w:p>
    <w:p w14:paraId="0CD20342" w14:textId="44356603" w:rsidR="0023670B" w:rsidRDefault="0023670B" w:rsidP="0023670B">
      <w:r>
        <w:t>The phrase “</w:t>
      </w:r>
      <w:r w:rsidRPr="0023670B">
        <w:t>if the UE is operating in EN-DC</w:t>
      </w:r>
      <w:r>
        <w:t>” is used in five different places in TS 38.331. It is not clear what the phrase might imply. For example, we think it should mean any of the following cases:</w:t>
      </w:r>
    </w:p>
    <w:p w14:paraId="6FD3C5FA" w14:textId="30518C74" w:rsidR="0023670B" w:rsidRDefault="0023670B" w:rsidP="0023670B">
      <w:r w:rsidRPr="0023670B">
        <w:rPr>
          <w:b/>
        </w:rPr>
        <w:t xml:space="preserve">Case 1: </w:t>
      </w:r>
      <w:r>
        <w:t>the UE is either executing a procedure due to, or processing a field in, an RRC message, which, if successfully processed, will configure a NR SCG</w:t>
      </w:r>
      <w:r w:rsidR="00F4214B">
        <w:t>.</w:t>
      </w:r>
    </w:p>
    <w:p w14:paraId="2A5F0135" w14:textId="21435CF3" w:rsidR="0023670B" w:rsidRDefault="0023670B" w:rsidP="0023670B">
      <w:r w:rsidRPr="0023670B">
        <w:rPr>
          <w:b/>
        </w:rPr>
        <w:t>Case 2:</w:t>
      </w:r>
      <w:r>
        <w:t xml:space="preserve"> the UE is either executing a procedure due to, or processing a field in, an RRC message, which, if successfully processed, will keep the UE configured with a NR SCG, like before that message was received</w:t>
      </w:r>
      <w:r w:rsidR="00F4214B">
        <w:t>.</w:t>
      </w:r>
    </w:p>
    <w:p w14:paraId="3884F67D" w14:textId="0673167A" w:rsidR="00CD4C7B" w:rsidRDefault="0023670B" w:rsidP="0023670B">
      <w:r w:rsidRPr="0023670B">
        <w:rPr>
          <w:b/>
        </w:rPr>
        <w:t>Case 3:</w:t>
      </w:r>
      <w:r>
        <w:t xml:space="preserve"> the UE is either executing a procedure due to, or processing a field in, an RRC message, which, if successfully processed, will result in the UE having no NR SCG configured</w:t>
      </w:r>
      <w:r w:rsidR="00F4214B">
        <w:t>.</w:t>
      </w:r>
    </w:p>
    <w:p w14:paraId="6933D04A" w14:textId="4989F2A9" w:rsidR="00F4214B" w:rsidRDefault="00F4214B" w:rsidP="0023670B">
      <w:pPr>
        <w:rPr>
          <w:b/>
        </w:rPr>
      </w:pPr>
      <w:bookmarkStart w:id="1" w:name="_Hlk531465520"/>
      <w:r w:rsidRPr="00F4214B">
        <w:rPr>
          <w:b/>
        </w:rPr>
        <w:t xml:space="preserve">Observation 1: </w:t>
      </w:r>
      <w:bookmarkEnd w:id="1"/>
      <w:r w:rsidRPr="00F4214B">
        <w:rPr>
          <w:b/>
        </w:rPr>
        <w:t xml:space="preserve">The text we have agreed in R2-1818854 does not help much with the above especially with the part in </w:t>
      </w:r>
      <w:r w:rsidRPr="00F4214B">
        <w:rPr>
          <w:b/>
          <w:highlight w:val="cyan"/>
        </w:rPr>
        <w:t>CYAN</w:t>
      </w:r>
      <w:r w:rsidRPr="00F4214B">
        <w:rPr>
          <w:b/>
        </w:rPr>
        <w:t xml:space="preserve"> below or does not clearly state if Case 1/2/3 are all implied by it.</w:t>
      </w:r>
    </w:p>
    <w:p w14:paraId="4C2F1117" w14:textId="47299680" w:rsidR="00FB74F9" w:rsidRDefault="00FB74F9" w:rsidP="0023670B">
      <w:r w:rsidRPr="00B4039E">
        <w:t xml:space="preserve">Secondly, </w:t>
      </w:r>
      <w:r>
        <w:t>the phrase “</w:t>
      </w:r>
      <w:r w:rsidRPr="0023670B">
        <w:t>if the UE is operating in EN-DC</w:t>
      </w:r>
      <w:r>
        <w:t xml:space="preserve">” </w:t>
      </w:r>
      <w:r w:rsidR="00CA074F">
        <w:t xml:space="preserve">may be (mis)interpreted as </w:t>
      </w:r>
      <w:r>
        <w:t xml:space="preserve">restricting </w:t>
      </w:r>
      <w:r w:rsidR="00CA074F">
        <w:t xml:space="preserve">the usage of NR PDCP (configured by </w:t>
      </w:r>
      <w:r w:rsidR="00CA074F" w:rsidRPr="00CA074F">
        <w:rPr>
          <w:i/>
        </w:rPr>
        <w:t>RadioBearerConfig</w:t>
      </w:r>
      <w:r w:rsidR="00CA074F">
        <w:t xml:space="preserve">) </w:t>
      </w:r>
      <w:r>
        <w:t xml:space="preserve">to EN-DC procedural steps </w:t>
      </w:r>
      <w:r w:rsidR="00CA074F">
        <w:t xml:space="preserve">only, which is not something that was the original intention: the NR PDCP can be used also for </w:t>
      </w:r>
      <w:r>
        <w:t xml:space="preserve">reconfiguration of an MCG bearer from LTE PDCP to NR PDCP, which </w:t>
      </w:r>
      <w:r w:rsidR="00CA074F">
        <w:t xml:space="preserve">can be done without </w:t>
      </w:r>
      <w:r>
        <w:t>EN-DC.</w:t>
      </w:r>
    </w:p>
    <w:p w14:paraId="70F294D7" w14:textId="6B4BA651" w:rsidR="00C109F3" w:rsidRPr="00C109F3" w:rsidRDefault="00C109F3" w:rsidP="0023670B">
      <w:pPr>
        <w:rPr>
          <w:b/>
        </w:rPr>
      </w:pPr>
      <w:r>
        <w:rPr>
          <w:b/>
        </w:rPr>
        <w:t xml:space="preserve">Observation </w:t>
      </w:r>
      <w:r w:rsidR="00CA074F">
        <w:rPr>
          <w:b/>
        </w:rPr>
        <w:t>2</w:t>
      </w:r>
      <w:r>
        <w:rPr>
          <w:b/>
        </w:rPr>
        <w:t>: T</w:t>
      </w:r>
      <w:r w:rsidRPr="00C109F3">
        <w:rPr>
          <w:b/>
        </w:rPr>
        <w:t xml:space="preserve">he phrase “if the UE is operating in EN-DC” </w:t>
      </w:r>
      <w:r w:rsidR="00CA074F">
        <w:rPr>
          <w:b/>
        </w:rPr>
        <w:t xml:space="preserve">can be (mis)interpreted as </w:t>
      </w:r>
      <w:r w:rsidRPr="00C109F3">
        <w:rPr>
          <w:b/>
        </w:rPr>
        <w:t xml:space="preserve">restricting </w:t>
      </w:r>
      <w:r w:rsidR="00CA074F">
        <w:rPr>
          <w:b/>
        </w:rPr>
        <w:t>the use of NR PDCP only to EN-DC operation, which is not the intention</w:t>
      </w:r>
      <w:r w:rsidRPr="00C109F3">
        <w:rPr>
          <w:b/>
        </w:rPr>
        <w:t>.</w:t>
      </w:r>
    </w:p>
    <w:p w14:paraId="185699BA" w14:textId="77777777" w:rsidR="00F4214B" w:rsidRDefault="00F4214B" w:rsidP="00F4214B">
      <w:pPr>
        <w:pStyle w:val="Heading3"/>
      </w:pPr>
      <w:r>
        <w:t>5.1.x    Requirements for UE in EN-DC</w:t>
      </w:r>
    </w:p>
    <w:p w14:paraId="4D543B3A" w14:textId="77777777" w:rsidR="00F4214B" w:rsidRDefault="00F4214B" w:rsidP="00F4214B">
      <w:pPr>
        <w:rPr>
          <w:rFonts w:eastAsiaTheme="minorHAnsi"/>
        </w:rPr>
      </w:pPr>
      <w:r>
        <w:t xml:space="preserve">In this specification, the UE considers itself to be in EN-DC if and only if it </w:t>
      </w:r>
      <w:r>
        <w:rPr>
          <w:highlight w:val="cyan"/>
        </w:rPr>
        <w:t xml:space="preserve">is configured with </w:t>
      </w:r>
      <w:r>
        <w:rPr>
          <w:i/>
          <w:iCs/>
          <w:highlight w:val="cyan"/>
        </w:rPr>
        <w:t>nr-SecondaryCellGroupConfig</w:t>
      </w:r>
      <w:r>
        <w:rPr>
          <w:highlight w:val="cyan"/>
        </w:rPr>
        <w:t xml:space="preserve"> according to TS 36.331[10].</w:t>
      </w:r>
    </w:p>
    <w:p w14:paraId="337104ED" w14:textId="77777777" w:rsidR="00F4214B" w:rsidRDefault="00F4214B" w:rsidP="00F4214B">
      <w:r>
        <w:t>The UE in EN-DC only executes a sub-clause of clause 5 in this specification when the subclause:</w:t>
      </w:r>
    </w:p>
    <w:p w14:paraId="11D6BE4F" w14:textId="77777777" w:rsidR="00F4214B" w:rsidRDefault="00F4214B" w:rsidP="00F4214B">
      <w:pPr>
        <w:pStyle w:val="B1"/>
      </w:pPr>
      <w:r>
        <w:rPr>
          <w:lang w:val="fr-FR"/>
        </w:rPr>
        <w:t>-</w:t>
      </w:r>
      <w:r>
        <w:t>    is referred to from a subclause under execution, either in this specification or in TS 36.331 [10]; or</w:t>
      </w:r>
    </w:p>
    <w:p w14:paraId="764F97BD" w14:textId="77777777" w:rsidR="00F4214B" w:rsidRDefault="00F4214B" w:rsidP="00F4214B">
      <w:pPr>
        <w:pStyle w:val="B1"/>
      </w:pPr>
      <w:r>
        <w:rPr>
          <w:lang w:val="fr-FR"/>
        </w:rPr>
        <w:t>-</w:t>
      </w:r>
      <w:r>
        <w:t>    applies to a message received on SRB3 (if SRB3 is established); or</w:t>
      </w:r>
    </w:p>
    <w:p w14:paraId="667D32F5" w14:textId="77777777" w:rsidR="00F4214B" w:rsidRDefault="00F4214B" w:rsidP="00F4214B">
      <w:pPr>
        <w:pStyle w:val="B1"/>
      </w:pPr>
      <w:r>
        <w:rPr>
          <w:lang w:val="fr-FR"/>
        </w:rPr>
        <w:lastRenderedPageBreak/>
        <w:t>-</w:t>
      </w:r>
      <w:r>
        <w:t>    applies to field(s), IE(s), UE variable(s) or timer(s) in this specification that the UE is configured with</w:t>
      </w:r>
      <w:r>
        <w:rPr>
          <w:lang w:val="fr-FR"/>
        </w:rPr>
        <w:t>.</w:t>
      </w:r>
    </w:p>
    <w:p w14:paraId="6C18C03C" w14:textId="77777777" w:rsidR="00F4214B" w:rsidRDefault="00F4214B" w:rsidP="00F4214B">
      <w:r>
        <w:t xml:space="preserve">When executing a subclause of clause 5 in this specification, the UE follows the requirements in section 5.1.2 and in all subclauses of this specification applicable to the messages (including processing time requirements), fields, IEs, timers and UE variables indicated in the subclause under execution. </w:t>
      </w:r>
      <w:bookmarkStart w:id="2" w:name="_Toc525763099"/>
      <w:bookmarkEnd w:id="2"/>
    </w:p>
    <w:p w14:paraId="0C93B8D5" w14:textId="475398B8" w:rsidR="00F4214B" w:rsidRPr="00F4214B" w:rsidRDefault="00F4214B" w:rsidP="00F4214B">
      <w:pPr>
        <w:pStyle w:val="HTMLPreformatted"/>
        <w:rPr>
          <w:rFonts w:ascii="Times New Roman" w:eastAsia="Times New Roman" w:hAnsi="Times New Roman" w:cs="Times New Roman"/>
          <w:b/>
          <w:color w:val="FF0000"/>
          <w:lang w:val="en-GB"/>
        </w:rPr>
      </w:pPr>
      <w:r w:rsidRPr="00F4214B">
        <w:rPr>
          <w:rFonts w:ascii="Times New Roman" w:eastAsia="Times New Roman" w:hAnsi="Times New Roman" w:cs="Times New Roman"/>
          <w:b/>
          <w:color w:val="FF0000"/>
          <w:lang w:val="en-GB"/>
        </w:rPr>
        <w:t>Occurrence 1:</w:t>
      </w:r>
    </w:p>
    <w:p w14:paraId="5225F029" w14:textId="77777777" w:rsidR="00F4214B" w:rsidRDefault="00F4214B" w:rsidP="00F4214B">
      <w:pPr>
        <w:pStyle w:val="Heading5"/>
        <w:rPr>
          <w:rFonts w:cs="Arial"/>
        </w:rPr>
      </w:pPr>
      <w:bookmarkStart w:id="3" w:name="_Toc525763163"/>
      <w:r>
        <w:t>5.3.5.6.4              DRB release</w:t>
      </w:r>
      <w:bookmarkEnd w:id="3"/>
    </w:p>
    <w:p w14:paraId="147B2765" w14:textId="77777777" w:rsidR="00F4214B" w:rsidRDefault="00F4214B" w:rsidP="00F4214B">
      <w:pPr>
        <w:pStyle w:val="HTMLPreformatted"/>
        <w:ind w:left="1304"/>
        <w:rPr>
          <w:rFonts w:ascii="Calibri" w:hAnsi="Calibri" w:cs="Calibri"/>
          <w:color w:val="1F497D"/>
          <w:sz w:val="22"/>
          <w:szCs w:val="22"/>
        </w:rPr>
      </w:pPr>
      <w:r>
        <w:rPr>
          <w:rFonts w:ascii="Calibri" w:hAnsi="Calibri" w:cs="Calibri"/>
          <w:color w:val="1F497D"/>
          <w:sz w:val="22"/>
          <w:szCs w:val="22"/>
        </w:rPr>
        <w:t>..</w:t>
      </w:r>
    </w:p>
    <w:p w14:paraId="53A300A4" w14:textId="77777777" w:rsidR="00F4214B" w:rsidRDefault="00F4214B" w:rsidP="00F4214B">
      <w:pPr>
        <w:pStyle w:val="B2"/>
        <w:ind w:left="2155"/>
      </w:pPr>
      <w:r>
        <w:t xml:space="preserve">2&gt; </w:t>
      </w:r>
      <w:r>
        <w:rPr>
          <w:highlight w:val="yellow"/>
        </w:rPr>
        <w:t>if the UE is operating in EN-DC</w:t>
      </w:r>
      <w:r>
        <w:t>:</w:t>
      </w:r>
    </w:p>
    <w:p w14:paraId="2F5C8133" w14:textId="77777777" w:rsidR="00F4214B" w:rsidRDefault="00F4214B" w:rsidP="00F4214B">
      <w:pPr>
        <w:pStyle w:val="B3"/>
        <w:ind w:left="2439"/>
        <w:rPr>
          <w:sz w:val="22"/>
          <w:szCs w:val="22"/>
        </w:rPr>
      </w:pPr>
      <w:r>
        <w:t xml:space="preserve">3&gt; if a new bearer is not added either with NR or E-UTRA with same </w:t>
      </w:r>
      <w:r>
        <w:rPr>
          <w:i/>
          <w:iCs/>
        </w:rPr>
        <w:t>eps-BearerIdentity</w:t>
      </w:r>
      <w:r>
        <w:t>:</w:t>
      </w:r>
    </w:p>
    <w:p w14:paraId="0AD55168" w14:textId="77777777" w:rsidR="00F4214B" w:rsidRDefault="00F4214B" w:rsidP="00F4214B">
      <w:pPr>
        <w:pStyle w:val="B4"/>
        <w:ind w:left="2722"/>
      </w:pPr>
      <w:r>
        <w:t xml:space="preserve">4&gt; indicate the release of the DRB and the </w:t>
      </w:r>
      <w:r>
        <w:rPr>
          <w:i/>
          <w:iCs/>
        </w:rPr>
        <w:t>eps-BearerIdentity</w:t>
      </w:r>
      <w:r>
        <w:t xml:space="preserve"> of the released DRB to upper layers.</w:t>
      </w:r>
    </w:p>
    <w:p w14:paraId="34A0A806" w14:textId="17FEB417" w:rsidR="00F4214B" w:rsidRPr="00F4214B" w:rsidRDefault="00F4214B" w:rsidP="00F4214B">
      <w:pPr>
        <w:pStyle w:val="B4"/>
        <w:ind w:left="0" w:firstLine="0"/>
        <w:rPr>
          <w:b/>
        </w:rPr>
      </w:pPr>
      <w:r w:rsidRPr="00F4214B">
        <w:rPr>
          <w:b/>
          <w:highlight w:val="cyan"/>
        </w:rPr>
        <w:t xml:space="preserve">Observation 2:  A more relevant text </w:t>
      </w:r>
      <w:r w:rsidR="008B4E0E">
        <w:rPr>
          <w:b/>
          <w:highlight w:val="cyan"/>
        </w:rPr>
        <w:t xml:space="preserve">could </w:t>
      </w:r>
      <w:r w:rsidRPr="00F4214B">
        <w:rPr>
          <w:b/>
          <w:highlight w:val="cyan"/>
        </w:rPr>
        <w:t>be “if the DRB is associated with an eps-BearerIdentity”</w:t>
      </w:r>
    </w:p>
    <w:p w14:paraId="125AAC39" w14:textId="7F2AABA8" w:rsidR="00F4214B" w:rsidRDefault="00F4214B" w:rsidP="00F4214B">
      <w:pPr>
        <w:pStyle w:val="HTMLPreformatted"/>
        <w:rPr>
          <w:rFonts w:ascii="Calibri" w:hAnsi="Calibri" w:cs="Calibri"/>
          <w:color w:val="1F497D"/>
          <w:sz w:val="22"/>
          <w:szCs w:val="22"/>
          <w:lang w:val="en-GB"/>
        </w:rPr>
      </w:pPr>
      <w:r w:rsidRPr="00F4214B">
        <w:rPr>
          <w:rFonts w:ascii="Times New Roman" w:eastAsia="Times New Roman" w:hAnsi="Times New Roman" w:cs="Times New Roman"/>
          <w:b/>
          <w:color w:val="FF0000"/>
          <w:lang w:val="en-GB"/>
        </w:rPr>
        <w:t>Occurrence</w:t>
      </w:r>
      <w:r>
        <w:rPr>
          <w:rFonts w:ascii="Times New Roman" w:eastAsia="Times New Roman" w:hAnsi="Times New Roman" w:cs="Times New Roman"/>
          <w:b/>
          <w:color w:val="FF0000"/>
          <w:lang w:val="en-GB"/>
        </w:rPr>
        <w:t xml:space="preserve"> 2</w:t>
      </w:r>
      <w:r w:rsidRPr="00F4214B">
        <w:rPr>
          <w:rFonts w:ascii="Times New Roman" w:eastAsia="Times New Roman" w:hAnsi="Times New Roman" w:cs="Times New Roman"/>
          <w:b/>
          <w:color w:val="FF0000"/>
          <w:lang w:val="en-GB"/>
        </w:rPr>
        <w:t>:</w:t>
      </w:r>
    </w:p>
    <w:p w14:paraId="3B8DC978" w14:textId="77777777" w:rsidR="00F4214B" w:rsidRDefault="00F4214B" w:rsidP="00F4214B">
      <w:pPr>
        <w:pStyle w:val="Heading5"/>
        <w:ind w:left="3005"/>
        <w:rPr>
          <w:rFonts w:cs="Arial"/>
          <w:szCs w:val="22"/>
        </w:rPr>
      </w:pPr>
      <w:r>
        <w:t>5.3.5.6.5              DRB addition/modification</w:t>
      </w:r>
    </w:p>
    <w:p w14:paraId="4976D45D" w14:textId="77777777" w:rsidR="00F4214B" w:rsidRDefault="00F4214B" w:rsidP="00F4214B">
      <w:pPr>
        <w:ind w:left="1304"/>
        <w:rPr>
          <w:rFonts w:eastAsiaTheme="minorHAnsi"/>
        </w:rPr>
      </w:pPr>
      <w:r>
        <w:t>The UE shall:</w:t>
      </w:r>
    </w:p>
    <w:p w14:paraId="6EBDD078" w14:textId="77777777" w:rsidR="00F4214B" w:rsidRDefault="00F4214B" w:rsidP="00F4214B">
      <w:pPr>
        <w:pStyle w:val="B1"/>
        <w:ind w:left="1872"/>
      </w:pPr>
      <w:r>
        <w:t xml:space="preserve">1&gt; for each </w:t>
      </w:r>
      <w:r>
        <w:rPr>
          <w:i/>
          <w:iCs/>
        </w:rPr>
        <w:t>drb-Identity</w:t>
      </w:r>
      <w:r>
        <w:t xml:space="preserve"> value included in the </w:t>
      </w:r>
      <w:r>
        <w:rPr>
          <w:i/>
          <w:iCs/>
        </w:rPr>
        <w:t>drb-ToAddModList</w:t>
      </w:r>
      <w:r>
        <w:t xml:space="preserve"> that is not part of the current UE configuration (DRB establishment including the case when full configuration option is used):</w:t>
      </w:r>
    </w:p>
    <w:p w14:paraId="02F37FE3" w14:textId="77777777" w:rsidR="00F4214B" w:rsidRDefault="00F4214B" w:rsidP="00F4214B">
      <w:pPr>
        <w:pStyle w:val="HTMLPreformatted"/>
        <w:ind w:left="1304"/>
        <w:rPr>
          <w:rFonts w:ascii="Calibri" w:hAnsi="Calibri" w:cs="Calibri"/>
          <w:color w:val="1F497D"/>
          <w:sz w:val="22"/>
          <w:szCs w:val="22"/>
          <w:lang w:val="en-GB"/>
        </w:rPr>
      </w:pPr>
      <w:r>
        <w:rPr>
          <w:rFonts w:ascii="Calibri" w:hAnsi="Calibri" w:cs="Calibri"/>
          <w:color w:val="1F497D"/>
          <w:sz w:val="22"/>
          <w:szCs w:val="22"/>
          <w:lang w:val="en-GB"/>
        </w:rPr>
        <w:t>…</w:t>
      </w:r>
    </w:p>
    <w:p w14:paraId="527DD758" w14:textId="77777777" w:rsidR="00F4214B" w:rsidRDefault="00F4214B" w:rsidP="00F4214B">
      <w:pPr>
        <w:pStyle w:val="B2"/>
        <w:ind w:left="2155"/>
      </w:pPr>
      <w:r>
        <w:t xml:space="preserve">2&gt; </w:t>
      </w:r>
      <w:r>
        <w:rPr>
          <w:highlight w:val="yellow"/>
        </w:rPr>
        <w:t>if the UE is operating in EN-DC</w:t>
      </w:r>
      <w:r>
        <w:t>:</w:t>
      </w:r>
    </w:p>
    <w:p w14:paraId="40BB276F" w14:textId="77777777" w:rsidR="00F4214B" w:rsidRDefault="00F4214B" w:rsidP="00F4214B">
      <w:pPr>
        <w:pStyle w:val="B3"/>
        <w:ind w:left="2439"/>
        <w:rPr>
          <w:sz w:val="22"/>
          <w:szCs w:val="22"/>
        </w:rPr>
      </w:pPr>
      <w:r>
        <w:t xml:space="preserve">3&gt;if </w:t>
      </w:r>
      <w:r>
        <w:rPr>
          <w:highlight w:val="green"/>
        </w:rPr>
        <w:t>the DRB</w:t>
      </w:r>
      <w:r>
        <w:t xml:space="preserve"> was configured with the same </w:t>
      </w:r>
      <w:r>
        <w:rPr>
          <w:i/>
          <w:iCs/>
        </w:rPr>
        <w:t xml:space="preserve">eps-BearerIdentity </w:t>
      </w:r>
      <w:r>
        <w:t>either by NR or E-UTRA prior to receiving this reconfiguration:</w:t>
      </w:r>
    </w:p>
    <w:p w14:paraId="66E49D58" w14:textId="77777777" w:rsidR="00F4214B" w:rsidRDefault="00F4214B" w:rsidP="00F4214B">
      <w:pPr>
        <w:pStyle w:val="B4"/>
        <w:ind w:left="2722"/>
      </w:pPr>
      <w:r>
        <w:t xml:space="preserve">4&gt; associate the established DRB with the corresponding </w:t>
      </w:r>
      <w:r>
        <w:rPr>
          <w:i/>
          <w:iCs/>
        </w:rPr>
        <w:t>eps-BearerIdentity;</w:t>
      </w:r>
    </w:p>
    <w:p w14:paraId="6B7538DE" w14:textId="77777777" w:rsidR="00F4214B" w:rsidRDefault="00F4214B" w:rsidP="00F4214B">
      <w:pPr>
        <w:pStyle w:val="B3"/>
        <w:ind w:left="2439"/>
      </w:pPr>
      <w:r>
        <w:t>3&gt; else:</w:t>
      </w:r>
    </w:p>
    <w:p w14:paraId="0B139F2D" w14:textId="77777777" w:rsidR="00F4214B" w:rsidRDefault="00F4214B" w:rsidP="00F4214B">
      <w:pPr>
        <w:pStyle w:val="B4"/>
        <w:ind w:left="2722"/>
      </w:pPr>
      <w:r>
        <w:t xml:space="preserve">4&gt; indicate the establishment of the DRB(s) and the </w:t>
      </w:r>
      <w:r>
        <w:rPr>
          <w:i/>
          <w:iCs/>
        </w:rPr>
        <w:t>eps-BearerIdentity</w:t>
      </w:r>
      <w:r>
        <w:t xml:space="preserve"> of the established DRB(s) to upper layers;</w:t>
      </w:r>
    </w:p>
    <w:p w14:paraId="0ACE4503" w14:textId="6DFC4A7E" w:rsidR="00F4214B" w:rsidRPr="00F4214B" w:rsidRDefault="00F4214B" w:rsidP="00F4214B">
      <w:pPr>
        <w:pStyle w:val="B4"/>
        <w:ind w:left="0" w:firstLine="0"/>
        <w:rPr>
          <w:b/>
          <w:highlight w:val="cyan"/>
        </w:rPr>
      </w:pPr>
      <w:r w:rsidRPr="00F4214B">
        <w:rPr>
          <w:b/>
          <w:highlight w:val="cyan"/>
        </w:rPr>
        <w:t xml:space="preserve">Observation 2:  For the part in YELLOW, a more relevant text </w:t>
      </w:r>
      <w:r w:rsidR="008B4E0E">
        <w:rPr>
          <w:b/>
          <w:highlight w:val="cyan"/>
        </w:rPr>
        <w:t xml:space="preserve">could </w:t>
      </w:r>
      <w:r w:rsidRPr="00F4214B">
        <w:rPr>
          <w:b/>
          <w:highlight w:val="cyan"/>
        </w:rPr>
        <w:t>be “if the DRB is associated with an eps-BearerIdentity”</w:t>
      </w:r>
      <w:r w:rsidR="008B4E0E">
        <w:rPr>
          <w:b/>
          <w:highlight w:val="cyan"/>
        </w:rPr>
        <w:t>.</w:t>
      </w:r>
    </w:p>
    <w:p w14:paraId="263A3864" w14:textId="00C73652" w:rsidR="00F4214B" w:rsidRPr="00F4214B" w:rsidRDefault="00F4214B" w:rsidP="00F4214B">
      <w:pPr>
        <w:pStyle w:val="HTMLPreformatted"/>
        <w:rPr>
          <w:rFonts w:ascii="Times New Roman" w:eastAsia="Times New Roman" w:hAnsi="Times New Roman" w:cs="Times New Roman"/>
          <w:b/>
          <w:highlight w:val="cyan"/>
          <w:lang w:val="en-GB"/>
        </w:rPr>
      </w:pPr>
      <w:r w:rsidRPr="00F4214B">
        <w:rPr>
          <w:rFonts w:ascii="Times New Roman" w:eastAsia="Times New Roman" w:hAnsi="Times New Roman" w:cs="Times New Roman"/>
          <w:b/>
          <w:highlight w:val="cyan"/>
          <w:lang w:val="en-GB"/>
        </w:rPr>
        <w:t xml:space="preserve">Observation </w:t>
      </w:r>
      <w:r>
        <w:rPr>
          <w:rFonts w:ascii="Times New Roman" w:eastAsia="Times New Roman" w:hAnsi="Times New Roman" w:cs="Times New Roman"/>
          <w:b/>
          <w:highlight w:val="cyan"/>
          <w:lang w:val="en-GB"/>
        </w:rPr>
        <w:t xml:space="preserve">3: </w:t>
      </w:r>
      <w:r w:rsidRPr="00F4214B">
        <w:rPr>
          <w:rFonts w:ascii="Times New Roman" w:eastAsia="Times New Roman" w:hAnsi="Times New Roman" w:cs="Times New Roman"/>
          <w:b/>
          <w:highlight w:val="cyan"/>
          <w:lang w:val="en-GB"/>
        </w:rPr>
        <w:t>For the part in GREEN, “a DRB” seems more appropriate.</w:t>
      </w:r>
    </w:p>
    <w:p w14:paraId="229225ED" w14:textId="77777777" w:rsidR="00F4214B" w:rsidRDefault="00F4214B" w:rsidP="00F4214B">
      <w:pPr>
        <w:pStyle w:val="HTMLPreformatted"/>
        <w:rPr>
          <w:rFonts w:ascii="Calibri" w:hAnsi="Calibri" w:cs="Calibri"/>
          <w:color w:val="1F497D"/>
          <w:sz w:val="22"/>
          <w:szCs w:val="22"/>
          <w:lang w:val="en-GB"/>
        </w:rPr>
      </w:pPr>
    </w:p>
    <w:p w14:paraId="5BC5C784" w14:textId="2F99FAAA" w:rsidR="00F4214B" w:rsidRDefault="00F4214B" w:rsidP="00F4214B">
      <w:pPr>
        <w:pStyle w:val="HTMLPreformatted"/>
        <w:rPr>
          <w:rFonts w:ascii="Calibri" w:hAnsi="Calibri" w:cs="Calibri"/>
          <w:color w:val="1F497D"/>
          <w:sz w:val="22"/>
          <w:szCs w:val="22"/>
          <w:lang w:val="en-GB"/>
        </w:rPr>
      </w:pPr>
      <w:r w:rsidRPr="00F4214B">
        <w:rPr>
          <w:rFonts w:ascii="Times New Roman" w:eastAsia="Times New Roman" w:hAnsi="Times New Roman" w:cs="Times New Roman"/>
          <w:b/>
          <w:color w:val="FF0000"/>
          <w:lang w:val="en-GB"/>
        </w:rPr>
        <w:t>Occurrence</w:t>
      </w:r>
      <w:r>
        <w:rPr>
          <w:rFonts w:ascii="Times New Roman" w:eastAsia="Times New Roman" w:hAnsi="Times New Roman" w:cs="Times New Roman"/>
          <w:b/>
          <w:color w:val="FF0000"/>
          <w:lang w:val="en-GB"/>
        </w:rPr>
        <w:t xml:space="preserve"> 3</w:t>
      </w:r>
      <w:r w:rsidRPr="00F4214B">
        <w:rPr>
          <w:rFonts w:ascii="Times New Roman" w:eastAsia="Times New Roman" w:hAnsi="Times New Roman" w:cs="Times New Roman"/>
          <w:b/>
          <w:color w:val="FF0000"/>
          <w:lang w:val="en-GB"/>
        </w:rPr>
        <w:t>:</w:t>
      </w:r>
    </w:p>
    <w:p w14:paraId="4D840BA9" w14:textId="77777777" w:rsidR="00F4214B" w:rsidRDefault="00F4214B" w:rsidP="00F4214B">
      <w:pPr>
        <w:pStyle w:val="Heading4"/>
        <w:ind w:left="1304"/>
        <w:rPr>
          <w:rFonts w:cs="Arial"/>
          <w:color w:val="2F5496"/>
          <w:szCs w:val="24"/>
        </w:rPr>
      </w:pPr>
      <w:bookmarkStart w:id="4" w:name="_Toc525763147"/>
      <w:r>
        <w:t xml:space="preserve">5.3.5.3               Reception of an </w:t>
      </w:r>
      <w:bookmarkEnd w:id="4"/>
      <w:r>
        <w:rPr>
          <w:i/>
          <w:iCs/>
        </w:rPr>
        <w:t>RRCReconfiguration</w:t>
      </w:r>
      <w:r>
        <w:t xml:space="preserve"> by the UE</w:t>
      </w:r>
    </w:p>
    <w:p w14:paraId="5DC04422" w14:textId="77777777" w:rsidR="00F4214B" w:rsidRDefault="00F4214B" w:rsidP="00F4214B">
      <w:pPr>
        <w:ind w:left="1304"/>
        <w:rPr>
          <w:rFonts w:ascii="Calibri" w:eastAsiaTheme="minorHAnsi" w:hAnsi="Calibri" w:cs="Calibri"/>
          <w:sz w:val="22"/>
          <w:szCs w:val="22"/>
        </w:rPr>
      </w:pPr>
      <w:r>
        <w:t xml:space="preserve">The UE shall perform the following actions upon reception of the </w:t>
      </w:r>
      <w:r>
        <w:rPr>
          <w:i/>
          <w:iCs/>
        </w:rPr>
        <w:t>RRCReconfiguration</w:t>
      </w:r>
      <w:r>
        <w:t>:</w:t>
      </w:r>
    </w:p>
    <w:p w14:paraId="3402C237" w14:textId="77777777" w:rsidR="00F4214B" w:rsidRDefault="00F4214B" w:rsidP="00F4214B">
      <w:pPr>
        <w:pStyle w:val="HTMLPreformatted"/>
        <w:ind w:left="1304"/>
        <w:rPr>
          <w:rFonts w:ascii="Calibri" w:hAnsi="Calibri" w:cs="Calibri"/>
          <w:color w:val="1F497D"/>
          <w:sz w:val="22"/>
          <w:szCs w:val="22"/>
          <w:lang w:val="en-GB"/>
        </w:rPr>
      </w:pPr>
      <w:r>
        <w:rPr>
          <w:rFonts w:ascii="Calibri" w:hAnsi="Calibri" w:cs="Calibri"/>
          <w:color w:val="1F497D"/>
          <w:sz w:val="22"/>
          <w:szCs w:val="22"/>
          <w:lang w:val="en-GB"/>
        </w:rPr>
        <w:t>..</w:t>
      </w:r>
    </w:p>
    <w:p w14:paraId="68E1871A" w14:textId="77777777" w:rsidR="00F4214B" w:rsidRDefault="00F4214B" w:rsidP="00F4214B">
      <w:pPr>
        <w:pStyle w:val="B1"/>
        <w:ind w:left="1872"/>
      </w:pPr>
      <w:r>
        <w:t xml:space="preserve">1&gt; if the </w:t>
      </w:r>
      <w:r>
        <w:rPr>
          <w:i/>
          <w:iCs/>
        </w:rPr>
        <w:t>RRCReconfiguration</w:t>
      </w:r>
      <w:r>
        <w:t xml:space="preserve"> includes the </w:t>
      </w:r>
      <w:r>
        <w:rPr>
          <w:i/>
          <w:iCs/>
        </w:rPr>
        <w:t>masterKeyUpdate</w:t>
      </w:r>
      <w:r>
        <w:t>:</w:t>
      </w:r>
    </w:p>
    <w:p w14:paraId="2F08E975" w14:textId="77777777" w:rsidR="00F4214B" w:rsidRDefault="00F4214B" w:rsidP="00F4214B">
      <w:pPr>
        <w:pStyle w:val="B2"/>
        <w:ind w:left="2155"/>
        <w:rPr>
          <w:sz w:val="22"/>
          <w:szCs w:val="22"/>
        </w:rPr>
      </w:pPr>
      <w:r>
        <w:t>2&gt; perform security key update procedure as specified in 5.3.5.7;</w:t>
      </w:r>
    </w:p>
    <w:p w14:paraId="03F0EE65" w14:textId="77777777" w:rsidR="00F4214B" w:rsidRDefault="00F4214B" w:rsidP="00F4214B">
      <w:pPr>
        <w:pStyle w:val="Heading4"/>
        <w:ind w:left="1304"/>
        <w:rPr>
          <w:rFonts w:cs="Arial"/>
          <w:szCs w:val="24"/>
        </w:rPr>
      </w:pPr>
      <w:bookmarkStart w:id="5" w:name="_Toc525763165"/>
      <w:r>
        <w:t>5.3.5.7               Security key update</w:t>
      </w:r>
      <w:bookmarkEnd w:id="5"/>
    </w:p>
    <w:p w14:paraId="4CF657B5" w14:textId="77777777" w:rsidR="00F4214B" w:rsidRDefault="00F4214B" w:rsidP="00F4214B">
      <w:pPr>
        <w:ind w:left="1304"/>
        <w:rPr>
          <w:rFonts w:ascii="Calibri" w:eastAsiaTheme="minorHAnsi" w:hAnsi="Calibri" w:cs="Calibri"/>
          <w:sz w:val="22"/>
          <w:szCs w:val="22"/>
        </w:rPr>
      </w:pPr>
      <w:r>
        <w:t>The UE shall:</w:t>
      </w:r>
    </w:p>
    <w:p w14:paraId="218F8B61" w14:textId="77777777" w:rsidR="00F4214B" w:rsidRDefault="00F4214B" w:rsidP="00F4214B">
      <w:pPr>
        <w:pStyle w:val="B1"/>
        <w:ind w:left="1872"/>
      </w:pPr>
      <w:r>
        <w:rPr>
          <w:highlight w:val="magenta"/>
        </w:rPr>
        <w:t>1&gt; if the UE is operating in EN-DC:</w:t>
      </w:r>
    </w:p>
    <w:p w14:paraId="1AE2CCCD" w14:textId="77777777" w:rsidR="00F4214B" w:rsidRDefault="00F4214B" w:rsidP="00F4214B">
      <w:pPr>
        <w:pStyle w:val="B2"/>
        <w:ind w:left="2155"/>
      </w:pPr>
      <w:r>
        <w:t xml:space="preserve">2&gt; upon reception of </w:t>
      </w:r>
      <w:r>
        <w:rPr>
          <w:i/>
          <w:iCs/>
        </w:rPr>
        <w:t>sk-Counter</w:t>
      </w:r>
      <w:r>
        <w:t xml:space="preserve"> as specified in TS 36.331 [10]:</w:t>
      </w:r>
    </w:p>
    <w:p w14:paraId="09D78FAB" w14:textId="77777777" w:rsidR="00F4214B" w:rsidRDefault="00F4214B" w:rsidP="00F4214B">
      <w:pPr>
        <w:pStyle w:val="B3"/>
        <w:ind w:left="2439"/>
      </w:pPr>
      <w:r>
        <w:lastRenderedPageBreak/>
        <w:t>3&gt; update the S-K</w:t>
      </w:r>
      <w:r>
        <w:rPr>
          <w:vertAlign w:val="subscript"/>
        </w:rPr>
        <w:t>gNB</w:t>
      </w:r>
      <w:r>
        <w:t xml:space="preserve"> key based on the K</w:t>
      </w:r>
      <w:r>
        <w:rPr>
          <w:vertAlign w:val="subscript"/>
        </w:rPr>
        <w:t>eNB</w:t>
      </w:r>
      <w:r>
        <w:t xml:space="preserve"> key and using the received </w:t>
      </w:r>
      <w:r>
        <w:rPr>
          <w:i/>
          <w:iCs/>
        </w:rPr>
        <w:t>sk-Counter</w:t>
      </w:r>
      <w:r>
        <w:t xml:space="preserve"> value, as specified in TS 33.401 [11];</w:t>
      </w:r>
    </w:p>
    <w:p w14:paraId="2DAF59A1" w14:textId="77777777" w:rsidR="00F4214B" w:rsidRDefault="00F4214B" w:rsidP="00F4214B">
      <w:pPr>
        <w:pStyle w:val="B3"/>
        <w:ind w:left="2439"/>
      </w:pPr>
      <w:r>
        <w:t>3&gt; derive K</w:t>
      </w:r>
      <w:r>
        <w:rPr>
          <w:vertAlign w:val="subscript"/>
        </w:rPr>
        <w:t>RRCenc</w:t>
      </w:r>
      <w:r>
        <w:t xml:space="preserve"> and K</w:t>
      </w:r>
      <w:r>
        <w:rPr>
          <w:vertAlign w:val="subscript"/>
        </w:rPr>
        <w:t>UPenc</w:t>
      </w:r>
      <w:r>
        <w:t xml:space="preserve"> key as specified in TS 33.401 [11];</w:t>
      </w:r>
    </w:p>
    <w:p w14:paraId="3B0E4C68" w14:textId="77777777" w:rsidR="00F4214B" w:rsidRDefault="00F4214B" w:rsidP="00F4214B">
      <w:pPr>
        <w:pStyle w:val="B3"/>
        <w:ind w:left="2439"/>
      </w:pPr>
      <w:r>
        <w:t>3&gt; derive the K</w:t>
      </w:r>
      <w:r>
        <w:rPr>
          <w:vertAlign w:val="subscript"/>
        </w:rPr>
        <w:t>RRCint</w:t>
      </w:r>
      <w:r>
        <w:t xml:space="preserve"> </w:t>
      </w:r>
      <w:r>
        <w:rPr>
          <w:lang w:eastAsia="zh-CN"/>
        </w:rPr>
        <w:t>and K</w:t>
      </w:r>
      <w:r>
        <w:rPr>
          <w:vertAlign w:val="subscript"/>
          <w:lang w:eastAsia="zh-CN"/>
        </w:rPr>
        <w:t>UPint</w:t>
      </w:r>
      <w:r>
        <w:t xml:space="preserve"> key as specified in TS 33.401 [11].</w:t>
      </w:r>
    </w:p>
    <w:p w14:paraId="2E96003C" w14:textId="61CA1083" w:rsidR="00F4214B" w:rsidRPr="00F4214B" w:rsidRDefault="00F4214B" w:rsidP="00F4214B">
      <w:pPr>
        <w:pStyle w:val="B3"/>
        <w:ind w:left="0" w:firstLine="0"/>
        <w:rPr>
          <w:b/>
          <w:highlight w:val="cyan"/>
        </w:rPr>
      </w:pPr>
      <w:r w:rsidRPr="00F4214B">
        <w:rPr>
          <w:b/>
          <w:highlight w:val="cyan"/>
        </w:rPr>
        <w:t xml:space="preserve">Observation </w:t>
      </w:r>
      <w:r>
        <w:rPr>
          <w:b/>
          <w:highlight w:val="cyan"/>
        </w:rPr>
        <w:t xml:space="preserve">4: </w:t>
      </w:r>
      <w:r w:rsidRPr="00F4214B">
        <w:rPr>
          <w:b/>
          <w:highlight w:val="cyan"/>
        </w:rPr>
        <w:t xml:space="preserve"> Here both Case 1 and Case 2 are implied.</w:t>
      </w:r>
    </w:p>
    <w:p w14:paraId="4B93B817" w14:textId="1B1DED68" w:rsidR="00F4214B" w:rsidRDefault="00F4214B" w:rsidP="00F4214B">
      <w:pPr>
        <w:pStyle w:val="HTMLPreformatted"/>
        <w:rPr>
          <w:rFonts w:ascii="Calibri" w:hAnsi="Calibri" w:cs="Calibri"/>
          <w:color w:val="1F497D"/>
          <w:sz w:val="22"/>
          <w:szCs w:val="22"/>
          <w:lang w:val="en-GB"/>
        </w:rPr>
      </w:pPr>
      <w:r w:rsidRPr="00F4214B">
        <w:rPr>
          <w:rFonts w:ascii="Times New Roman" w:eastAsia="Times New Roman" w:hAnsi="Times New Roman" w:cs="Times New Roman"/>
          <w:b/>
          <w:color w:val="FF0000"/>
          <w:lang w:val="en-GB"/>
        </w:rPr>
        <w:t>Occurrence</w:t>
      </w:r>
      <w:r>
        <w:rPr>
          <w:rFonts w:ascii="Times New Roman" w:eastAsia="Times New Roman" w:hAnsi="Times New Roman" w:cs="Times New Roman"/>
          <w:b/>
          <w:color w:val="FF0000"/>
          <w:lang w:val="en-GB"/>
        </w:rPr>
        <w:t xml:space="preserve"> 4</w:t>
      </w:r>
      <w:r w:rsidRPr="00F4214B">
        <w:rPr>
          <w:rFonts w:ascii="Times New Roman" w:eastAsia="Times New Roman" w:hAnsi="Times New Roman" w:cs="Times New Roman"/>
          <w:b/>
          <w:color w:val="FF0000"/>
          <w:lang w:val="en-GB"/>
        </w:rPr>
        <w:t>:</w:t>
      </w:r>
    </w:p>
    <w:p w14:paraId="7D0A3054" w14:textId="77777777" w:rsidR="00F4214B" w:rsidRDefault="00F4214B" w:rsidP="00F4214B">
      <w:pPr>
        <w:pStyle w:val="Heading5"/>
        <w:ind w:left="3005"/>
        <w:rPr>
          <w:rFonts w:cs="Arial"/>
          <w:szCs w:val="22"/>
        </w:rPr>
      </w:pPr>
      <w:bookmarkStart w:id="6" w:name="_Toc525763168"/>
      <w:r>
        <w:t>5.3.5.8.2              Inability to comply with RRCReconfiguration</w:t>
      </w:r>
      <w:bookmarkEnd w:id="6"/>
    </w:p>
    <w:p w14:paraId="0AED0EE4" w14:textId="77777777" w:rsidR="00F4214B" w:rsidRDefault="00F4214B" w:rsidP="00F4214B">
      <w:pPr>
        <w:ind w:left="1304"/>
        <w:rPr>
          <w:rFonts w:eastAsiaTheme="minorHAnsi"/>
        </w:rPr>
      </w:pPr>
      <w:r>
        <w:t>The UE shall:</w:t>
      </w:r>
    </w:p>
    <w:p w14:paraId="4360E46B" w14:textId="77777777" w:rsidR="00F4214B" w:rsidRDefault="00F4214B" w:rsidP="00F4214B">
      <w:pPr>
        <w:pStyle w:val="B1"/>
        <w:ind w:left="1872"/>
      </w:pPr>
      <w:r>
        <w:rPr>
          <w:lang w:eastAsia="zh-CN"/>
        </w:rPr>
        <w:t xml:space="preserve">1&gt; </w:t>
      </w:r>
      <w:r>
        <w:rPr>
          <w:highlight w:val="magenta"/>
          <w:lang w:eastAsia="zh-CN"/>
        </w:rPr>
        <w:t xml:space="preserve">if the UE is </w:t>
      </w:r>
      <w:r>
        <w:rPr>
          <w:highlight w:val="magenta"/>
        </w:rPr>
        <w:t>operating in EN-DC:</w:t>
      </w:r>
    </w:p>
    <w:p w14:paraId="7727C16C" w14:textId="77777777" w:rsidR="00F4214B" w:rsidRDefault="00F4214B" w:rsidP="00F4214B">
      <w:pPr>
        <w:pStyle w:val="B2"/>
        <w:ind w:left="2155"/>
        <w:rPr>
          <w:lang w:eastAsia="zh-CN"/>
        </w:rPr>
      </w:pPr>
      <w:r>
        <w:rPr>
          <w:lang w:eastAsia="zh-CN"/>
        </w:rPr>
        <w:t xml:space="preserve">2&gt; if the UE is unable to comply with (part of) the configuration included in the </w:t>
      </w:r>
      <w:r>
        <w:rPr>
          <w:i/>
          <w:iCs/>
        </w:rPr>
        <w:t>RRCReconfiguration</w:t>
      </w:r>
      <w:r>
        <w:rPr>
          <w:lang w:eastAsia="zh-CN"/>
        </w:rPr>
        <w:t xml:space="preserve"> message received over SRB3;</w:t>
      </w:r>
    </w:p>
    <w:p w14:paraId="4B34434C" w14:textId="77777777" w:rsidR="00F4214B" w:rsidRDefault="00F4214B" w:rsidP="00F4214B">
      <w:pPr>
        <w:pStyle w:val="B3"/>
        <w:ind w:left="2439"/>
        <w:rPr>
          <w:lang w:eastAsia="zh-CN"/>
        </w:rPr>
      </w:pPr>
      <w:r>
        <w:t>3</w:t>
      </w:r>
      <w:r>
        <w:rPr>
          <w:lang w:eastAsia="zh-CN"/>
        </w:rPr>
        <w:t xml:space="preserve">&gt; continue using the configuration used prior to the reception of </w:t>
      </w:r>
      <w:r>
        <w:rPr>
          <w:i/>
          <w:iCs/>
        </w:rPr>
        <w:t>RRCReconfiguration</w:t>
      </w:r>
      <w:r>
        <w:rPr>
          <w:lang w:eastAsia="zh-CN"/>
        </w:rPr>
        <w:t xml:space="preserve"> message;</w:t>
      </w:r>
    </w:p>
    <w:p w14:paraId="2F068637" w14:textId="77777777" w:rsidR="00F4214B" w:rsidRDefault="00F4214B" w:rsidP="00F4214B">
      <w:pPr>
        <w:pStyle w:val="B3"/>
        <w:ind w:left="2439"/>
        <w:rPr>
          <w:lang w:eastAsia="zh-CN"/>
        </w:rPr>
      </w:pPr>
      <w:r>
        <w:rPr>
          <w:lang w:eastAsia="zh-CN"/>
        </w:rPr>
        <w:t xml:space="preserve">3&gt; initiate the SCG failure information procedure as specified in subclause </w:t>
      </w:r>
      <w:r>
        <w:t>5.</w:t>
      </w:r>
      <w:r>
        <w:rPr>
          <w:lang w:eastAsia="zh-CN"/>
        </w:rPr>
        <w:t>7.</w:t>
      </w:r>
      <w:r>
        <w:t>3</w:t>
      </w:r>
      <w:r>
        <w:rPr>
          <w:lang w:eastAsia="zh-CN"/>
        </w:rPr>
        <w:t xml:space="preserve"> to report SCG reconfiguration error, upon which the connection reconfiguration procedure ends;</w:t>
      </w:r>
    </w:p>
    <w:p w14:paraId="2857AA06" w14:textId="77777777" w:rsidR="00F4214B" w:rsidRDefault="00F4214B" w:rsidP="00F4214B">
      <w:pPr>
        <w:pStyle w:val="B2"/>
        <w:ind w:left="2155"/>
        <w:rPr>
          <w:lang w:eastAsia="zh-CN"/>
        </w:rPr>
      </w:pPr>
      <w:r>
        <w:rPr>
          <w:lang w:eastAsia="zh-CN"/>
        </w:rPr>
        <w:t xml:space="preserve">2&gt; else, if the UE is unable to comply with (part of) the configuration included in the </w:t>
      </w:r>
      <w:r>
        <w:rPr>
          <w:i/>
          <w:iCs/>
          <w:lang w:eastAsia="zh-CN"/>
        </w:rPr>
        <w:t>RRCReconfiguration</w:t>
      </w:r>
      <w:r>
        <w:rPr>
          <w:lang w:eastAsia="zh-CN"/>
        </w:rPr>
        <w:t xml:space="preserve"> message received </w:t>
      </w:r>
      <w:r>
        <w:rPr>
          <w:highlight w:val="yellow"/>
          <w:lang w:eastAsia="zh-CN"/>
        </w:rPr>
        <w:t>over MCG SRB1</w:t>
      </w:r>
      <w:r>
        <w:rPr>
          <w:lang w:eastAsia="zh-CN"/>
        </w:rPr>
        <w:t>;</w:t>
      </w:r>
    </w:p>
    <w:p w14:paraId="46226AF1" w14:textId="77777777" w:rsidR="00F4214B" w:rsidRDefault="00F4214B" w:rsidP="00F4214B">
      <w:pPr>
        <w:pStyle w:val="B3"/>
        <w:ind w:left="2439"/>
        <w:rPr>
          <w:lang w:eastAsia="zh-CN"/>
        </w:rPr>
      </w:pPr>
      <w:r>
        <w:rPr>
          <w:lang w:eastAsia="zh-CN"/>
        </w:rPr>
        <w:t xml:space="preserve">3&gt; continue using the configuration used prior to the reception of </w:t>
      </w:r>
      <w:r>
        <w:rPr>
          <w:i/>
          <w:iCs/>
          <w:lang w:eastAsia="zh-CN"/>
        </w:rPr>
        <w:t>RRCReconfiguration</w:t>
      </w:r>
      <w:r>
        <w:rPr>
          <w:lang w:eastAsia="zh-CN"/>
        </w:rPr>
        <w:t xml:space="preserve"> message;</w:t>
      </w:r>
    </w:p>
    <w:p w14:paraId="316D7352" w14:textId="77777777" w:rsidR="00F4214B" w:rsidRDefault="00F4214B" w:rsidP="00F4214B">
      <w:pPr>
        <w:pStyle w:val="B3"/>
        <w:ind w:left="2439"/>
        <w:rPr>
          <w:lang w:eastAsia="zh-CN"/>
        </w:rPr>
      </w:pPr>
      <w:r>
        <w:rPr>
          <w:lang w:eastAsia="zh-CN"/>
        </w:rPr>
        <w:t>3&gt; initiate the connection re-establishment procedure as specified in TS 36.331 [10, 5.3.7], upon which the connection reconfiguration procedure ends.</w:t>
      </w:r>
    </w:p>
    <w:p w14:paraId="4EEDED7A" w14:textId="3A069401" w:rsidR="00F4214B" w:rsidRPr="00F4214B" w:rsidRDefault="00F4214B" w:rsidP="00F4214B">
      <w:pPr>
        <w:pStyle w:val="B3"/>
        <w:ind w:left="0" w:firstLine="0"/>
        <w:rPr>
          <w:b/>
          <w:highlight w:val="cyan"/>
        </w:rPr>
      </w:pPr>
      <w:r w:rsidRPr="00F4214B">
        <w:rPr>
          <w:b/>
          <w:highlight w:val="cyan"/>
        </w:rPr>
        <w:t xml:space="preserve">Observation </w:t>
      </w:r>
      <w:r>
        <w:rPr>
          <w:b/>
          <w:highlight w:val="cyan"/>
        </w:rPr>
        <w:t xml:space="preserve">5: </w:t>
      </w:r>
      <w:r w:rsidRPr="00F4214B">
        <w:rPr>
          <w:b/>
          <w:highlight w:val="cyan"/>
        </w:rPr>
        <w:t>Here both Case 1 and Case 2 are implied.</w:t>
      </w:r>
    </w:p>
    <w:p w14:paraId="18BC2F40" w14:textId="73B6B387" w:rsidR="00F4214B" w:rsidRDefault="00F4214B" w:rsidP="00F4214B">
      <w:pPr>
        <w:pStyle w:val="HTMLPreformatted"/>
        <w:rPr>
          <w:rFonts w:ascii="Calibri" w:hAnsi="Calibri" w:cs="Calibri"/>
          <w:color w:val="1F497D"/>
          <w:sz w:val="22"/>
          <w:szCs w:val="22"/>
          <w:lang w:val="en-GB"/>
        </w:rPr>
      </w:pPr>
      <w:r w:rsidRPr="00F4214B">
        <w:rPr>
          <w:rFonts w:ascii="Times New Roman" w:eastAsia="Times New Roman" w:hAnsi="Times New Roman" w:cs="Times New Roman"/>
          <w:b/>
          <w:color w:val="FF0000"/>
          <w:lang w:val="en-GB"/>
        </w:rPr>
        <w:t>Occurrence</w:t>
      </w:r>
      <w:r>
        <w:rPr>
          <w:rFonts w:ascii="Times New Roman" w:eastAsia="Times New Roman" w:hAnsi="Times New Roman" w:cs="Times New Roman"/>
          <w:b/>
          <w:color w:val="FF0000"/>
          <w:lang w:val="en-GB"/>
        </w:rPr>
        <w:t xml:space="preserve"> 5</w:t>
      </w:r>
      <w:r w:rsidRPr="00F4214B">
        <w:rPr>
          <w:rFonts w:ascii="Times New Roman" w:eastAsia="Times New Roman" w:hAnsi="Times New Roman" w:cs="Times New Roman"/>
          <w:b/>
          <w:color w:val="FF0000"/>
          <w:lang w:val="en-GB"/>
        </w:rPr>
        <w:t>:</w:t>
      </w:r>
    </w:p>
    <w:p w14:paraId="066D5A22" w14:textId="77777777" w:rsidR="00F4214B" w:rsidRDefault="00F4214B" w:rsidP="00F4214B">
      <w:pPr>
        <w:pStyle w:val="Heading3"/>
        <w:ind w:left="1304"/>
        <w:rPr>
          <w:rFonts w:cs="Arial"/>
          <w:color w:val="1F3763"/>
          <w:szCs w:val="28"/>
        </w:rPr>
      </w:pPr>
      <w:bookmarkStart w:id="7" w:name="_Toc525763286"/>
      <w:r>
        <w:t>5.7.3              SCG failure information</w:t>
      </w:r>
      <w:bookmarkEnd w:id="7"/>
    </w:p>
    <w:p w14:paraId="2C278074" w14:textId="77777777" w:rsidR="00F4214B" w:rsidRDefault="00F4214B" w:rsidP="00F4214B">
      <w:pPr>
        <w:pStyle w:val="Heading4"/>
        <w:ind w:left="1304"/>
        <w:rPr>
          <w:rFonts w:cs="Arial"/>
          <w:szCs w:val="24"/>
        </w:rPr>
      </w:pPr>
      <w:bookmarkStart w:id="8" w:name="_Toc525763288"/>
      <w:r>
        <w:t>5.7.3.2               Initiation</w:t>
      </w:r>
      <w:bookmarkEnd w:id="8"/>
    </w:p>
    <w:p w14:paraId="02779B2A" w14:textId="77777777" w:rsidR="00F4214B" w:rsidRDefault="00F4214B" w:rsidP="00F4214B">
      <w:pPr>
        <w:ind w:left="1304"/>
        <w:rPr>
          <w:rFonts w:ascii="Calibri" w:eastAsiaTheme="minorHAnsi" w:hAnsi="Calibri" w:cs="Calibri"/>
          <w:sz w:val="22"/>
          <w:szCs w:val="22"/>
        </w:rPr>
      </w:pPr>
      <w:r>
        <w:t>A UE initiates the procedure to report SCG failures when SCG transmission is not suspended and when one of the following conditions is met:</w:t>
      </w:r>
    </w:p>
    <w:p w14:paraId="41885680" w14:textId="77777777" w:rsidR="00F4214B" w:rsidRDefault="00F4214B" w:rsidP="00F4214B">
      <w:pPr>
        <w:pStyle w:val="B1"/>
        <w:ind w:left="1872"/>
      </w:pPr>
      <w:r>
        <w:t>1&gt; upon detecting radio link failure for the SCG, in accordance with subclause 5.3.10.3;</w:t>
      </w:r>
    </w:p>
    <w:p w14:paraId="266B47D8" w14:textId="77777777" w:rsidR="00F4214B" w:rsidRDefault="00F4214B" w:rsidP="00F4214B">
      <w:pPr>
        <w:pStyle w:val="B1"/>
        <w:ind w:left="1872"/>
      </w:pPr>
      <w:r>
        <w:t>1&gt; upon reconfiguration with sync failure of the SCG, in accordance with subclause 5.3.5.8.3;</w:t>
      </w:r>
    </w:p>
    <w:p w14:paraId="7CAFDDB1" w14:textId="77777777" w:rsidR="00F4214B" w:rsidRDefault="00F4214B" w:rsidP="00F4214B">
      <w:pPr>
        <w:pStyle w:val="B1"/>
        <w:ind w:left="1872"/>
      </w:pPr>
      <w:r>
        <w:t>1&gt; upon SCG configuration failure, in accordance with subclause 5.3.5.8.2;</w:t>
      </w:r>
    </w:p>
    <w:p w14:paraId="01D8C04C" w14:textId="77777777" w:rsidR="00F4214B" w:rsidRDefault="00F4214B" w:rsidP="00F4214B">
      <w:pPr>
        <w:pStyle w:val="B1"/>
        <w:ind w:left="1872"/>
      </w:pPr>
      <w:r>
        <w:t>1&gt; upon integrity check failure indication from SCG lower layers, in accordance with subclause 5.3.5.8.1.</w:t>
      </w:r>
    </w:p>
    <w:p w14:paraId="7355D3C9" w14:textId="77777777" w:rsidR="00F4214B" w:rsidRDefault="00F4214B" w:rsidP="00F4214B">
      <w:pPr>
        <w:ind w:left="1304"/>
      </w:pPr>
      <w:r>
        <w:t>Upon initiating the procedure, the UE shall:</w:t>
      </w:r>
    </w:p>
    <w:p w14:paraId="3EAABE5B" w14:textId="77777777" w:rsidR="00F4214B" w:rsidRDefault="00F4214B" w:rsidP="00F4214B">
      <w:pPr>
        <w:pStyle w:val="B1"/>
        <w:ind w:left="1872"/>
      </w:pPr>
      <w:r>
        <w:t>1&gt; suspend SCG transmission for all SRBs and DRBs;</w:t>
      </w:r>
    </w:p>
    <w:p w14:paraId="37558F09" w14:textId="77777777" w:rsidR="00F4214B" w:rsidRDefault="00F4214B" w:rsidP="00F4214B">
      <w:pPr>
        <w:pStyle w:val="B1"/>
        <w:ind w:left="1872"/>
      </w:pPr>
      <w:r>
        <w:t>1&gt; reset SCG-MAC;</w:t>
      </w:r>
    </w:p>
    <w:p w14:paraId="685D2E46" w14:textId="77777777" w:rsidR="00F4214B" w:rsidRDefault="00F4214B" w:rsidP="00F4214B">
      <w:pPr>
        <w:pStyle w:val="B1"/>
        <w:ind w:left="1872"/>
      </w:pPr>
      <w:r>
        <w:t>1&gt; stop T304, if running;</w:t>
      </w:r>
    </w:p>
    <w:p w14:paraId="59C523BF" w14:textId="77777777" w:rsidR="00F4214B" w:rsidRDefault="00F4214B" w:rsidP="00F4214B">
      <w:pPr>
        <w:pStyle w:val="B1"/>
        <w:ind w:left="1872"/>
      </w:pPr>
      <w:r>
        <w:t xml:space="preserve">1&gt; </w:t>
      </w:r>
      <w:r>
        <w:rPr>
          <w:highlight w:val="magenta"/>
        </w:rPr>
        <w:t>if the UE is operating in EN-DC:</w:t>
      </w:r>
    </w:p>
    <w:p w14:paraId="7AF93AF0" w14:textId="77777777" w:rsidR="00F4214B" w:rsidRDefault="00F4214B" w:rsidP="00F4214B">
      <w:pPr>
        <w:pStyle w:val="B2"/>
        <w:ind w:left="2155"/>
      </w:pPr>
      <w:r>
        <w:t xml:space="preserve">2&gt; initiate transmission of the </w:t>
      </w:r>
      <w:r>
        <w:rPr>
          <w:i/>
          <w:iCs/>
        </w:rPr>
        <w:t>SCGFailureInformationNR</w:t>
      </w:r>
      <w:r>
        <w:t xml:space="preserve"> message as specified in TS 36.331 [10, 5.6.13a].</w:t>
      </w:r>
    </w:p>
    <w:p w14:paraId="4A91A150" w14:textId="4C9246C3" w:rsidR="00F4214B" w:rsidRPr="00B060FC" w:rsidRDefault="00F4214B" w:rsidP="00B060FC">
      <w:pPr>
        <w:pStyle w:val="B3"/>
        <w:ind w:left="0" w:firstLine="0"/>
        <w:rPr>
          <w:b/>
          <w:highlight w:val="cyan"/>
        </w:rPr>
      </w:pPr>
      <w:r w:rsidRPr="00F4214B">
        <w:rPr>
          <w:b/>
          <w:highlight w:val="cyan"/>
        </w:rPr>
        <w:lastRenderedPageBreak/>
        <w:t>Observatio</w:t>
      </w:r>
      <w:r>
        <w:rPr>
          <w:b/>
          <w:highlight w:val="cyan"/>
        </w:rPr>
        <w:t>n 6:</w:t>
      </w:r>
      <w:r w:rsidRPr="00F4214B">
        <w:rPr>
          <w:b/>
          <w:highlight w:val="cyan"/>
        </w:rPr>
        <w:t xml:space="preserve"> Here both Case 1 and Case 2 are implied.</w:t>
      </w:r>
    </w:p>
    <w:p w14:paraId="688EA120" w14:textId="66A22801" w:rsidR="00E123B8" w:rsidRDefault="00CD4C7B" w:rsidP="00CD4C7B">
      <w:pPr>
        <w:pStyle w:val="Heading1"/>
      </w:pPr>
      <w:r w:rsidRPr="006E13D1">
        <w:t>3</w:t>
      </w:r>
      <w:r w:rsidRPr="006E13D1">
        <w:tab/>
      </w:r>
      <w:r w:rsidR="00F4214B">
        <w:t>Discussion</w:t>
      </w:r>
    </w:p>
    <w:p w14:paraId="1E4A6DEC" w14:textId="4B685D54" w:rsidR="003E5602" w:rsidRPr="003E5602" w:rsidRDefault="003E5602" w:rsidP="003E5602">
      <w:r w:rsidRPr="003E5602">
        <w:t xml:space="preserve">We think that the current specs can be understood to be restricted to </w:t>
      </w:r>
      <w:r w:rsidR="007E7A52">
        <w:t xml:space="preserve">1) EN-DC, and therein 2) </w:t>
      </w:r>
      <w:r w:rsidRPr="003E5602">
        <w:t>only Case 2 in certain cases, which is not the intention. Such an interpretation would mean there are scenarios which may no longer work, for example:</w:t>
      </w:r>
    </w:p>
    <w:p w14:paraId="2867B53A" w14:textId="19E8A1E9" w:rsidR="003E5602" w:rsidRPr="003E5602" w:rsidRDefault="003E5602" w:rsidP="003E5602">
      <w:r w:rsidRPr="003E5602">
        <w:t>1.</w:t>
      </w:r>
      <w:r w:rsidRPr="003E5602">
        <w:tab/>
        <w:t>MCG to SCG split bearer type change (via DRB release and add)</w:t>
      </w:r>
      <w:r w:rsidR="007E7A52">
        <w:t xml:space="preserve"> at initial EN-DC configuration</w:t>
      </w:r>
      <w:r w:rsidRPr="003E5602">
        <w:t>: This is done with one RRC message, but UE is (strictly speaking) not in EN-DC when it receives the RRC reconfiguration message which carries the BTC signalling</w:t>
      </w:r>
    </w:p>
    <w:p w14:paraId="2DA03848" w14:textId="77777777" w:rsidR="003E5602" w:rsidRPr="003E5602" w:rsidRDefault="003E5602" w:rsidP="003E5602">
      <w:r w:rsidRPr="003E5602">
        <w:t>2.</w:t>
      </w:r>
      <w:r w:rsidRPr="003E5602">
        <w:tab/>
        <w:t>BTC scenarios caused by SCG removal: These are done with RRC reconfiguration, but it should be understood clearly that UE is in EN-DC while receiving this message (even when SCG has failed for some reason)</w:t>
      </w:r>
    </w:p>
    <w:p w14:paraId="769BDD32" w14:textId="77777777" w:rsidR="003E5602" w:rsidRPr="003E5602" w:rsidRDefault="003E5602" w:rsidP="003E5602">
      <w:r w:rsidRPr="003E5602">
        <w:t>3.</w:t>
      </w:r>
      <w:r w:rsidRPr="003E5602">
        <w:tab/>
        <w:t>LTE PDCP &lt;-&gt; NR PDCP version change for MCG bearer: This can be done completely without EN-DC on the eNB side, but 36.331 refers to 38.331 procedural text, which therefore cannot be understood as being “in EN-DC”. For example, this includes eLTE where NR PDCP is used but EN-DC is never configured (we could have NGEN-DC, but that’s not yet there).</w:t>
      </w:r>
    </w:p>
    <w:p w14:paraId="3983760D" w14:textId="6DB42ADD" w:rsidR="008F068B" w:rsidRPr="003E5602" w:rsidRDefault="003E5602" w:rsidP="003E5602">
      <w:r w:rsidRPr="003E5602">
        <w:t xml:space="preserve">In our view, the </w:t>
      </w:r>
      <w:r w:rsidR="007E7A52">
        <w:t xml:space="preserve">RRC procedures in question </w:t>
      </w:r>
      <w:r w:rsidRPr="003E5602">
        <w:t xml:space="preserve">should apply to </w:t>
      </w:r>
      <w:r w:rsidR="00173A2B" w:rsidRPr="003E5602">
        <w:t>all</w:t>
      </w:r>
      <w:r w:rsidRPr="003E5602">
        <w:t xml:space="preserve"> the above cases, and therefore</w:t>
      </w:r>
      <w:r w:rsidR="00173A2B">
        <w:t xml:space="preserve"> </w:t>
      </w:r>
      <w:r w:rsidR="00173A2B" w:rsidRPr="00173A2B">
        <w:t>the intention of</w:t>
      </w:r>
      <w:r w:rsidR="00173A2B">
        <w:t xml:space="preserve"> the phrases "operating in EN-DC", "configured with EN-DC" and</w:t>
      </w:r>
      <w:r w:rsidR="00173A2B" w:rsidRPr="00173A2B">
        <w:t xml:space="preserve"> "in EN-DC</w:t>
      </w:r>
      <w:r w:rsidR="007E7A52">
        <w:t>”</w:t>
      </w:r>
      <w:r w:rsidR="00173A2B">
        <w:t xml:space="preserve"> might need to be clarified on top of what </w:t>
      </w:r>
      <w:r w:rsidR="00173A2B" w:rsidRPr="00173A2B">
        <w:t>R2-1818854</w:t>
      </w:r>
      <w:r w:rsidR="00173A2B">
        <w:t xml:space="preserve"> intended to provide. Furthermore, we understand that the </w:t>
      </w:r>
      <w:r w:rsidR="007E7A52">
        <w:t>RRC-reconfiguration</w:t>
      </w:r>
      <w:r w:rsidR="00B060FC">
        <w:t xml:space="preserve"> </w:t>
      </w:r>
      <w:r w:rsidR="00173A2B">
        <w:t>scenarios that were supported in June 2018 version of TS 38.331 (V15.2.0</w:t>
      </w:r>
      <w:r w:rsidR="00B4039E">
        <w:t xml:space="preserve"> [2]</w:t>
      </w:r>
      <w:r w:rsidR="00173A2B">
        <w:t xml:space="preserve">) will remain supported in both September 2018 (V15.3.0) and in December 2018 (V15.4.0) without any loss of functionality due to the possible misunderstanding of </w:t>
      </w:r>
      <w:r w:rsidR="007E7A52">
        <w:t>those phrases</w:t>
      </w:r>
      <w:r w:rsidR="00173A2B">
        <w:t>.</w:t>
      </w:r>
    </w:p>
    <w:p w14:paraId="43A12B72" w14:textId="71A34B4F" w:rsidR="00CD4C7B" w:rsidRPr="006E13D1" w:rsidRDefault="00CD4C7B" w:rsidP="00CD4C7B">
      <w:pPr>
        <w:pStyle w:val="Heading1"/>
      </w:pPr>
      <w:r w:rsidRPr="006E13D1">
        <w:t>4</w:t>
      </w:r>
      <w:r w:rsidRPr="006E13D1">
        <w:tab/>
      </w:r>
      <w:r w:rsidR="00F4214B">
        <w:t>Conclusion</w:t>
      </w:r>
    </w:p>
    <w:p w14:paraId="728DFCBB" w14:textId="45A452D0" w:rsidR="00EB4F55" w:rsidRDefault="00173A2B" w:rsidP="00EB4F55">
      <w:r>
        <w:t xml:space="preserve">In this contribution, </w:t>
      </w:r>
      <w:r w:rsidRPr="00173A2B">
        <w:t>we summarize an offline discussion on some possible misunderstanding arising from the text “if the UE is operating in EN-DC</w:t>
      </w:r>
      <w:r>
        <w:t xml:space="preserve">” introduced in the TS 38.331 specification in the V15.3.0 version. </w:t>
      </w:r>
      <w:r w:rsidR="00CA074F">
        <w:t>We observed the following:</w:t>
      </w:r>
    </w:p>
    <w:p w14:paraId="666D3152" w14:textId="77777777" w:rsidR="00CA074F" w:rsidRDefault="00CA074F" w:rsidP="00CA074F">
      <w:pPr>
        <w:rPr>
          <w:b/>
        </w:rPr>
      </w:pPr>
      <w:r w:rsidRPr="00F4214B">
        <w:rPr>
          <w:b/>
        </w:rPr>
        <w:t xml:space="preserve">Observation 1: The text we have agreed in R2-1818854 does not help much with the above especially with the part in </w:t>
      </w:r>
      <w:r w:rsidRPr="00F4214B">
        <w:rPr>
          <w:b/>
          <w:highlight w:val="cyan"/>
        </w:rPr>
        <w:t>CYAN</w:t>
      </w:r>
      <w:r w:rsidRPr="00F4214B">
        <w:rPr>
          <w:b/>
        </w:rPr>
        <w:t xml:space="preserve"> below or does not clearly state if Case 1/2/3 are all implied by it.</w:t>
      </w:r>
    </w:p>
    <w:p w14:paraId="060A0EFA" w14:textId="77777777" w:rsidR="00CA074F" w:rsidRPr="00C109F3" w:rsidRDefault="00CA074F" w:rsidP="00CA074F">
      <w:pPr>
        <w:rPr>
          <w:b/>
        </w:rPr>
      </w:pPr>
      <w:r>
        <w:rPr>
          <w:b/>
        </w:rPr>
        <w:t>Observation 2: T</w:t>
      </w:r>
      <w:r w:rsidRPr="00C109F3">
        <w:rPr>
          <w:b/>
        </w:rPr>
        <w:t xml:space="preserve">he phrase “if the UE is operating in EN-DC” </w:t>
      </w:r>
      <w:r>
        <w:rPr>
          <w:b/>
        </w:rPr>
        <w:t xml:space="preserve">can be (mis)interpreted as </w:t>
      </w:r>
      <w:r w:rsidRPr="00C109F3">
        <w:rPr>
          <w:b/>
        </w:rPr>
        <w:t xml:space="preserve">restricting </w:t>
      </w:r>
      <w:r>
        <w:rPr>
          <w:b/>
        </w:rPr>
        <w:t>the use of NR PDCP only to EN-DC operation, which is not the intention</w:t>
      </w:r>
      <w:r w:rsidRPr="00C109F3">
        <w:rPr>
          <w:b/>
        </w:rPr>
        <w:t>.</w:t>
      </w:r>
    </w:p>
    <w:p w14:paraId="2D09A78A" w14:textId="431FBF3F" w:rsidR="00CA074F" w:rsidRDefault="00CA074F" w:rsidP="00EB4F55">
      <w:r>
        <w:t>Based on these and the discussion above we propose that RANP confirms that the intent is not to restrict, and tasks RAN2 to ensure the specifications are correct in this regard.</w:t>
      </w:r>
    </w:p>
    <w:p w14:paraId="0CA669F8" w14:textId="4DA5D39E" w:rsidR="00173A2B" w:rsidRDefault="00173A2B" w:rsidP="00EB4F55">
      <w:pPr>
        <w:rPr>
          <w:b/>
        </w:rPr>
      </w:pPr>
      <w:r w:rsidRPr="00173A2B">
        <w:rPr>
          <w:b/>
        </w:rPr>
        <w:t xml:space="preserve">Proposal 1: </w:t>
      </w:r>
      <w:r>
        <w:rPr>
          <w:b/>
        </w:rPr>
        <w:t xml:space="preserve">RAN plenary to acknowledge that there is no change in functionality regarding the </w:t>
      </w:r>
      <w:r w:rsidR="009C2ECD" w:rsidRPr="009C2ECD">
        <w:rPr>
          <w:b/>
        </w:rPr>
        <w:t>RRC-reconfiguration</w:t>
      </w:r>
      <w:r w:rsidR="00B060FC">
        <w:rPr>
          <w:b/>
        </w:rPr>
        <w:t xml:space="preserve"> </w:t>
      </w:r>
      <w:r>
        <w:rPr>
          <w:b/>
        </w:rPr>
        <w:t xml:space="preserve">scenarios supported by June 2018 (i.e. V15.2.0) of TS 38.331 in either the </w:t>
      </w:r>
      <w:r w:rsidRPr="00173A2B">
        <w:rPr>
          <w:b/>
        </w:rPr>
        <w:t>September 2018 (V15.3.0) and</w:t>
      </w:r>
      <w:r>
        <w:rPr>
          <w:b/>
        </w:rPr>
        <w:t>/or</w:t>
      </w:r>
      <w:r w:rsidRPr="00173A2B">
        <w:rPr>
          <w:b/>
        </w:rPr>
        <w:t xml:space="preserve"> </w:t>
      </w:r>
      <w:r>
        <w:rPr>
          <w:b/>
        </w:rPr>
        <w:t>December 2018 (V15.4.0) version.</w:t>
      </w:r>
    </w:p>
    <w:p w14:paraId="6BE750C9" w14:textId="543CB975" w:rsidR="00173A2B" w:rsidRPr="00173A2B" w:rsidRDefault="00173A2B" w:rsidP="00EB4F55">
      <w:pPr>
        <w:rPr>
          <w:b/>
        </w:rPr>
      </w:pPr>
      <w:r>
        <w:rPr>
          <w:b/>
        </w:rPr>
        <w:t xml:space="preserve">Proposal 2: RAN plenary tasks RAN2 to </w:t>
      </w:r>
      <w:r w:rsidR="00CA074F">
        <w:rPr>
          <w:b/>
        </w:rPr>
        <w:t xml:space="preserve">ensure the specifications are correct with regards to NR PDCP usage according to the </w:t>
      </w:r>
      <w:r>
        <w:rPr>
          <w:b/>
        </w:rPr>
        <w:t xml:space="preserve">correction </w:t>
      </w:r>
      <w:r w:rsidR="00CA074F">
        <w:rPr>
          <w:b/>
        </w:rPr>
        <w:t xml:space="preserve">in </w:t>
      </w:r>
      <w:r w:rsidRPr="00173A2B">
        <w:rPr>
          <w:b/>
        </w:rPr>
        <w:t>R2-1818854</w:t>
      </w:r>
      <w:r>
        <w:rPr>
          <w:b/>
        </w:rPr>
        <w:t xml:space="preserve"> </w:t>
      </w:r>
      <w:r w:rsidR="00CA074F">
        <w:rPr>
          <w:b/>
        </w:rPr>
        <w:t xml:space="preserve">during </w:t>
      </w:r>
      <w:r>
        <w:rPr>
          <w:b/>
        </w:rPr>
        <w:t>the RAN2#105 meeting.</w:t>
      </w:r>
    </w:p>
    <w:p w14:paraId="0FDCFAC2" w14:textId="77777777" w:rsidR="00CD4C7B" w:rsidRPr="006E13D1" w:rsidRDefault="00CD4C7B" w:rsidP="00CD4C7B">
      <w:pPr>
        <w:pStyle w:val="Heading1"/>
      </w:pPr>
      <w:r w:rsidRPr="006E13D1">
        <w:t>References</w:t>
      </w:r>
    </w:p>
    <w:p w14:paraId="782053F0" w14:textId="6ADA1665" w:rsidR="00194DAD" w:rsidRPr="00194DAD" w:rsidRDefault="00194DAD" w:rsidP="00194DAD">
      <w:pPr>
        <w:numPr>
          <w:ilvl w:val="0"/>
          <w:numId w:val="4"/>
        </w:numPr>
        <w:overflowPunct w:val="0"/>
        <w:autoSpaceDE w:val="0"/>
        <w:autoSpaceDN w:val="0"/>
        <w:adjustRightInd w:val="0"/>
        <w:textAlignment w:val="baseline"/>
        <w:rPr>
          <w:b/>
        </w:rPr>
      </w:pPr>
      <w:r w:rsidRPr="00194DAD">
        <w:rPr>
          <w:b/>
        </w:rPr>
        <w:t>3GPP TS 3</w:t>
      </w:r>
      <w:r w:rsidR="00823AC8">
        <w:rPr>
          <w:b/>
        </w:rPr>
        <w:t>8</w:t>
      </w:r>
      <w:r w:rsidRPr="00194DAD">
        <w:rPr>
          <w:b/>
        </w:rPr>
        <w:t>.331 V15.3.0 (2018-09)</w:t>
      </w:r>
      <w:r>
        <w:rPr>
          <w:b/>
        </w:rPr>
        <w:t xml:space="preserve">: </w:t>
      </w:r>
      <w:r w:rsidRPr="00194DAD">
        <w:rPr>
          <w:i/>
        </w:rPr>
        <w:t>Evolved Universal Terrestrial Radio Access (E-UTRA); Radio Resource Control (RRC); Protocol specification</w:t>
      </w:r>
      <w:r w:rsidRPr="00194DAD">
        <w:rPr>
          <w:b/>
          <w:i/>
        </w:rPr>
        <w:t xml:space="preserve">, </w:t>
      </w:r>
      <w:r w:rsidRPr="00194DAD">
        <w:t>3GPP</w:t>
      </w:r>
    </w:p>
    <w:p w14:paraId="17A25C3C" w14:textId="4B9A167A" w:rsidR="00194DAD" w:rsidRPr="00194DAD" w:rsidRDefault="00194DAD" w:rsidP="00194DAD">
      <w:pPr>
        <w:numPr>
          <w:ilvl w:val="0"/>
          <w:numId w:val="4"/>
        </w:numPr>
        <w:overflowPunct w:val="0"/>
        <w:autoSpaceDE w:val="0"/>
        <w:autoSpaceDN w:val="0"/>
        <w:adjustRightInd w:val="0"/>
        <w:textAlignment w:val="baseline"/>
        <w:rPr>
          <w:b/>
        </w:rPr>
      </w:pPr>
      <w:r w:rsidRPr="00194DAD">
        <w:rPr>
          <w:b/>
        </w:rPr>
        <w:t>3GPP TS 3</w:t>
      </w:r>
      <w:r w:rsidR="00823AC8">
        <w:rPr>
          <w:b/>
        </w:rPr>
        <w:t>8</w:t>
      </w:r>
      <w:r w:rsidRPr="00194DAD">
        <w:rPr>
          <w:b/>
        </w:rPr>
        <w:t xml:space="preserve">.331 V15.2.0 (2018-06): </w:t>
      </w:r>
      <w:r w:rsidRPr="00194DAD">
        <w:rPr>
          <w:i/>
        </w:rPr>
        <w:t>Evolved Universal Terrestrial Radio Access (E-UTRA); Radio Resource Control (RRC); Protocol specification,</w:t>
      </w:r>
      <w:r w:rsidRPr="00194DAD">
        <w:rPr>
          <w:b/>
          <w:i/>
        </w:rPr>
        <w:t xml:space="preserve"> </w:t>
      </w:r>
      <w:r w:rsidRPr="00194DAD">
        <w:t>3GPP</w:t>
      </w:r>
    </w:p>
    <w:p w14:paraId="35F222F4" w14:textId="0754B84D" w:rsidR="00080512" w:rsidRPr="00194DAD" w:rsidRDefault="00194DAD" w:rsidP="00194DAD">
      <w:pPr>
        <w:numPr>
          <w:ilvl w:val="0"/>
          <w:numId w:val="4"/>
        </w:numPr>
        <w:overflowPunct w:val="0"/>
        <w:autoSpaceDE w:val="0"/>
        <w:autoSpaceDN w:val="0"/>
        <w:adjustRightInd w:val="0"/>
        <w:textAlignment w:val="baseline"/>
        <w:rPr>
          <w:b/>
        </w:rPr>
      </w:pPr>
      <w:r w:rsidRPr="00194DAD">
        <w:rPr>
          <w:b/>
        </w:rPr>
        <w:t>R2-1818854</w:t>
      </w:r>
      <w:r>
        <w:rPr>
          <w:b/>
        </w:rPr>
        <w:t xml:space="preserve">: </w:t>
      </w:r>
      <w:r w:rsidRPr="00194DAD">
        <w:rPr>
          <w:i/>
        </w:rPr>
        <w:t>Clarification of the applicability of 38.331 to EN-DC</w:t>
      </w:r>
      <w:r>
        <w:rPr>
          <w:i/>
        </w:rPr>
        <w:t xml:space="preserve">, </w:t>
      </w:r>
      <w:r w:rsidRPr="00194DAD">
        <w:t>Huawei, HiSilicon</w:t>
      </w:r>
    </w:p>
    <w:p w14:paraId="582F0D94" w14:textId="0395466A" w:rsidR="00194DAD" w:rsidRPr="00194DAD" w:rsidRDefault="00194DAD" w:rsidP="00194DAD">
      <w:pPr>
        <w:numPr>
          <w:ilvl w:val="0"/>
          <w:numId w:val="4"/>
        </w:numPr>
        <w:overflowPunct w:val="0"/>
        <w:autoSpaceDE w:val="0"/>
        <w:autoSpaceDN w:val="0"/>
        <w:adjustRightInd w:val="0"/>
        <w:textAlignment w:val="baseline"/>
        <w:rPr>
          <w:b/>
        </w:rPr>
      </w:pPr>
      <w:r w:rsidRPr="00194DAD">
        <w:rPr>
          <w:b/>
        </w:rPr>
        <w:t>R2-1812411</w:t>
      </w:r>
      <w:r>
        <w:rPr>
          <w:b/>
        </w:rPr>
        <w:t xml:space="preserve">: </w:t>
      </w:r>
      <w:r w:rsidRPr="00194DAD">
        <w:rPr>
          <w:i/>
        </w:rPr>
        <w:t xml:space="preserve">Introduction of SA, </w:t>
      </w:r>
      <w:r w:rsidRPr="00B77F20">
        <w:rPr>
          <w:noProof/>
        </w:rPr>
        <w:t>Ericsson (Rapporteur)</w:t>
      </w:r>
    </w:p>
    <w:sectPr w:rsidR="00194DAD" w:rsidRPr="00194D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AA86F" w14:textId="77777777" w:rsidR="00DF53AC" w:rsidRDefault="00DF53AC">
      <w:r>
        <w:separator/>
      </w:r>
    </w:p>
  </w:endnote>
  <w:endnote w:type="continuationSeparator" w:id="0">
    <w:p w14:paraId="7C538F51" w14:textId="77777777" w:rsidR="00DF53AC" w:rsidRDefault="00DF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4A7B6" w14:textId="77777777" w:rsidR="00DF53AC" w:rsidRDefault="00DF53AC">
      <w:r>
        <w:separator/>
      </w:r>
    </w:p>
  </w:footnote>
  <w:footnote w:type="continuationSeparator" w:id="0">
    <w:p w14:paraId="759AB4B4" w14:textId="77777777" w:rsidR="00DF53AC" w:rsidRDefault="00DF5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301E43"/>
    <w:multiLevelType w:val="hybridMultilevel"/>
    <w:tmpl w:val="DAE65B12"/>
    <w:lvl w:ilvl="0" w:tplc="C8B4180C">
      <w:start w:val="5"/>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F20C37"/>
    <w:multiLevelType w:val="hybridMultilevel"/>
    <w:tmpl w:val="C3C87460"/>
    <w:lvl w:ilvl="0" w:tplc="0CE2922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8698A"/>
    <w:rsid w:val="00090468"/>
    <w:rsid w:val="000B7BCF"/>
    <w:rsid w:val="000C522B"/>
    <w:rsid w:val="000D58AB"/>
    <w:rsid w:val="000D6CCF"/>
    <w:rsid w:val="001045F9"/>
    <w:rsid w:val="00112F1A"/>
    <w:rsid w:val="00145075"/>
    <w:rsid w:val="0015068B"/>
    <w:rsid w:val="00173A2B"/>
    <w:rsid w:val="001741A0"/>
    <w:rsid w:val="00175FA0"/>
    <w:rsid w:val="00194CD0"/>
    <w:rsid w:val="00194DAD"/>
    <w:rsid w:val="001B49C9"/>
    <w:rsid w:val="001C4F79"/>
    <w:rsid w:val="001F168B"/>
    <w:rsid w:val="001F7831"/>
    <w:rsid w:val="00204045"/>
    <w:rsid w:val="0020712B"/>
    <w:rsid w:val="0021499F"/>
    <w:rsid w:val="00215557"/>
    <w:rsid w:val="00216772"/>
    <w:rsid w:val="0022606D"/>
    <w:rsid w:val="00231728"/>
    <w:rsid w:val="0023670B"/>
    <w:rsid w:val="002610D8"/>
    <w:rsid w:val="002747EC"/>
    <w:rsid w:val="002855BF"/>
    <w:rsid w:val="002914D8"/>
    <w:rsid w:val="002F0D22"/>
    <w:rsid w:val="002F6C79"/>
    <w:rsid w:val="00316224"/>
    <w:rsid w:val="003172DC"/>
    <w:rsid w:val="00322AA8"/>
    <w:rsid w:val="00325AE3"/>
    <w:rsid w:val="00326069"/>
    <w:rsid w:val="0035462D"/>
    <w:rsid w:val="00364B41"/>
    <w:rsid w:val="00387C91"/>
    <w:rsid w:val="003A41EF"/>
    <w:rsid w:val="003B40AD"/>
    <w:rsid w:val="003C4E37"/>
    <w:rsid w:val="003D02A6"/>
    <w:rsid w:val="003E16BE"/>
    <w:rsid w:val="003E42FC"/>
    <w:rsid w:val="003E5602"/>
    <w:rsid w:val="003E742C"/>
    <w:rsid w:val="003F4E28"/>
    <w:rsid w:val="004006E8"/>
    <w:rsid w:val="00401855"/>
    <w:rsid w:val="00414BC3"/>
    <w:rsid w:val="00417CF3"/>
    <w:rsid w:val="004460AE"/>
    <w:rsid w:val="00477455"/>
    <w:rsid w:val="004A1F7B"/>
    <w:rsid w:val="004C44D2"/>
    <w:rsid w:val="004D3578"/>
    <w:rsid w:val="004D380D"/>
    <w:rsid w:val="004E213A"/>
    <w:rsid w:val="00502083"/>
    <w:rsid w:val="00503171"/>
    <w:rsid w:val="00506C28"/>
    <w:rsid w:val="00534DA0"/>
    <w:rsid w:val="00543E6C"/>
    <w:rsid w:val="00565087"/>
    <w:rsid w:val="0056573F"/>
    <w:rsid w:val="005B4536"/>
    <w:rsid w:val="005F3256"/>
    <w:rsid w:val="00611566"/>
    <w:rsid w:val="006178A7"/>
    <w:rsid w:val="00624BE3"/>
    <w:rsid w:val="00646D99"/>
    <w:rsid w:val="00656910"/>
    <w:rsid w:val="0065746A"/>
    <w:rsid w:val="006C66D8"/>
    <w:rsid w:val="006D1E24"/>
    <w:rsid w:val="006E0201"/>
    <w:rsid w:val="006E1417"/>
    <w:rsid w:val="006E6894"/>
    <w:rsid w:val="006F6A2C"/>
    <w:rsid w:val="00710201"/>
    <w:rsid w:val="007148BE"/>
    <w:rsid w:val="007342B5"/>
    <w:rsid w:val="00734A5B"/>
    <w:rsid w:val="00744E76"/>
    <w:rsid w:val="00757D40"/>
    <w:rsid w:val="00763572"/>
    <w:rsid w:val="00781F0F"/>
    <w:rsid w:val="0078727C"/>
    <w:rsid w:val="0079049D"/>
    <w:rsid w:val="00793DC5"/>
    <w:rsid w:val="007A0FDA"/>
    <w:rsid w:val="007B18D8"/>
    <w:rsid w:val="007C0714"/>
    <w:rsid w:val="007C095F"/>
    <w:rsid w:val="007C2DD0"/>
    <w:rsid w:val="007E28BB"/>
    <w:rsid w:val="007E7A52"/>
    <w:rsid w:val="008028A4"/>
    <w:rsid w:val="00803329"/>
    <w:rsid w:val="00813245"/>
    <w:rsid w:val="00822652"/>
    <w:rsid w:val="00823AC8"/>
    <w:rsid w:val="008768CA"/>
    <w:rsid w:val="00877EF9"/>
    <w:rsid w:val="00880559"/>
    <w:rsid w:val="008B4E0E"/>
    <w:rsid w:val="008B5306"/>
    <w:rsid w:val="008D2E4D"/>
    <w:rsid w:val="008E3BAB"/>
    <w:rsid w:val="008F068B"/>
    <w:rsid w:val="008F396F"/>
    <w:rsid w:val="008F4344"/>
    <w:rsid w:val="0090271F"/>
    <w:rsid w:val="00902DB9"/>
    <w:rsid w:val="0090466A"/>
    <w:rsid w:val="0091300B"/>
    <w:rsid w:val="00936071"/>
    <w:rsid w:val="00940212"/>
    <w:rsid w:val="00942EC2"/>
    <w:rsid w:val="0095365D"/>
    <w:rsid w:val="00961B32"/>
    <w:rsid w:val="00970DB3"/>
    <w:rsid w:val="00974BB0"/>
    <w:rsid w:val="009A0AF3"/>
    <w:rsid w:val="009B07CD"/>
    <w:rsid w:val="009C19E9"/>
    <w:rsid w:val="009C2ECD"/>
    <w:rsid w:val="009D74A6"/>
    <w:rsid w:val="009F6CA8"/>
    <w:rsid w:val="00A07141"/>
    <w:rsid w:val="00A10F02"/>
    <w:rsid w:val="00A204CA"/>
    <w:rsid w:val="00A20993"/>
    <w:rsid w:val="00A43E4D"/>
    <w:rsid w:val="00A52005"/>
    <w:rsid w:val="00A53724"/>
    <w:rsid w:val="00A53D15"/>
    <w:rsid w:val="00A82346"/>
    <w:rsid w:val="00A9671C"/>
    <w:rsid w:val="00AA1553"/>
    <w:rsid w:val="00AB2CFA"/>
    <w:rsid w:val="00AE42D3"/>
    <w:rsid w:val="00B04BBF"/>
    <w:rsid w:val="00B05962"/>
    <w:rsid w:val="00B060FC"/>
    <w:rsid w:val="00B15449"/>
    <w:rsid w:val="00B27303"/>
    <w:rsid w:val="00B4039E"/>
    <w:rsid w:val="00B43A27"/>
    <w:rsid w:val="00B47FD1"/>
    <w:rsid w:val="00B516BB"/>
    <w:rsid w:val="00B5242C"/>
    <w:rsid w:val="00BC3555"/>
    <w:rsid w:val="00C0540F"/>
    <w:rsid w:val="00C109F3"/>
    <w:rsid w:val="00C12B51"/>
    <w:rsid w:val="00C24650"/>
    <w:rsid w:val="00C25465"/>
    <w:rsid w:val="00C33079"/>
    <w:rsid w:val="00C41DC1"/>
    <w:rsid w:val="00C46CD8"/>
    <w:rsid w:val="00C51B4A"/>
    <w:rsid w:val="00C83A13"/>
    <w:rsid w:val="00C9068C"/>
    <w:rsid w:val="00C92967"/>
    <w:rsid w:val="00CA074F"/>
    <w:rsid w:val="00CA3D0C"/>
    <w:rsid w:val="00CA654B"/>
    <w:rsid w:val="00CB72B8"/>
    <w:rsid w:val="00CD4C7B"/>
    <w:rsid w:val="00D23C97"/>
    <w:rsid w:val="00D33BE3"/>
    <w:rsid w:val="00D3792D"/>
    <w:rsid w:val="00D55E47"/>
    <w:rsid w:val="00D62E19"/>
    <w:rsid w:val="00D664EE"/>
    <w:rsid w:val="00D67CD1"/>
    <w:rsid w:val="00D738D6"/>
    <w:rsid w:val="00D80795"/>
    <w:rsid w:val="00D854BE"/>
    <w:rsid w:val="00D87E00"/>
    <w:rsid w:val="00D9134D"/>
    <w:rsid w:val="00D96D11"/>
    <w:rsid w:val="00DA7A03"/>
    <w:rsid w:val="00DB0DB8"/>
    <w:rsid w:val="00DB1818"/>
    <w:rsid w:val="00DB6E7F"/>
    <w:rsid w:val="00DC309B"/>
    <w:rsid w:val="00DC4DA2"/>
    <w:rsid w:val="00DF53AC"/>
    <w:rsid w:val="00E123B8"/>
    <w:rsid w:val="00E471CF"/>
    <w:rsid w:val="00E62835"/>
    <w:rsid w:val="00E77645"/>
    <w:rsid w:val="00E820A8"/>
    <w:rsid w:val="00E83697"/>
    <w:rsid w:val="00E91605"/>
    <w:rsid w:val="00EB408E"/>
    <w:rsid w:val="00EB4F55"/>
    <w:rsid w:val="00EC4710"/>
    <w:rsid w:val="00EC4A25"/>
    <w:rsid w:val="00F025A2"/>
    <w:rsid w:val="00F07388"/>
    <w:rsid w:val="00F15351"/>
    <w:rsid w:val="00F2026E"/>
    <w:rsid w:val="00F2210A"/>
    <w:rsid w:val="00F37743"/>
    <w:rsid w:val="00F4214B"/>
    <w:rsid w:val="00F54A3D"/>
    <w:rsid w:val="00F54CB0"/>
    <w:rsid w:val="00F653B8"/>
    <w:rsid w:val="00F71B89"/>
    <w:rsid w:val="00F7353C"/>
    <w:rsid w:val="00F76F8F"/>
    <w:rsid w:val="00F941DF"/>
    <w:rsid w:val="00FA1266"/>
    <w:rsid w:val="00FB36FA"/>
    <w:rsid w:val="00FB74F9"/>
    <w:rsid w:val="00FC1192"/>
    <w:rsid w:val="00FE251B"/>
    <w:rsid w:val="00FE47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Preformatted"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52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A52005"/>
    <w:rPr>
      <w:lang w:eastAsia="en-US"/>
    </w:rPr>
  </w:style>
  <w:style w:type="character" w:customStyle="1" w:styleId="B3Char2">
    <w:name w:val="B3 Char2"/>
    <w:link w:val="B3"/>
    <w:qFormat/>
    <w:rsid w:val="00A52005"/>
    <w:rPr>
      <w:lang w:eastAsia="en-US"/>
    </w:rPr>
  </w:style>
  <w:style w:type="character" w:customStyle="1" w:styleId="NOChar">
    <w:name w:val="NO Char"/>
    <w:link w:val="NO"/>
    <w:qFormat/>
    <w:rsid w:val="003E742C"/>
    <w:rPr>
      <w:lang w:eastAsia="en-US"/>
    </w:rPr>
  </w:style>
  <w:style w:type="character" w:customStyle="1" w:styleId="B1Char1">
    <w:name w:val="B1 Char1"/>
    <w:link w:val="B1"/>
    <w:qFormat/>
    <w:rsid w:val="003E742C"/>
    <w:rPr>
      <w:lang w:eastAsia="en-US"/>
    </w:rPr>
  </w:style>
  <w:style w:type="character" w:customStyle="1" w:styleId="B4Char">
    <w:name w:val="B4 Char"/>
    <w:link w:val="B4"/>
    <w:qFormat/>
    <w:rsid w:val="001045F9"/>
    <w:rPr>
      <w:lang w:eastAsia="en-US"/>
    </w:rPr>
  </w:style>
  <w:style w:type="paragraph" w:styleId="ListParagraph">
    <w:name w:val="List Paragraph"/>
    <w:basedOn w:val="Normal"/>
    <w:uiPriority w:val="34"/>
    <w:qFormat/>
    <w:rsid w:val="00822652"/>
    <w:pPr>
      <w:ind w:left="720"/>
      <w:contextualSpacing/>
    </w:pPr>
  </w:style>
  <w:style w:type="paragraph" w:styleId="BodyText">
    <w:name w:val="Body Text"/>
    <w:basedOn w:val="Normal"/>
    <w:link w:val="BodyTextChar"/>
    <w:uiPriority w:val="99"/>
    <w:unhideWhenUsed/>
    <w:rsid w:val="00A07141"/>
    <w:pPr>
      <w:overflowPunct w:val="0"/>
      <w:autoSpaceDE w:val="0"/>
      <w:autoSpaceDN w:val="0"/>
      <w:spacing w:after="120"/>
      <w:jc w:val="both"/>
    </w:pPr>
    <w:rPr>
      <w:rFonts w:ascii="Arial" w:eastAsiaTheme="minorHAnsi" w:hAnsi="Arial" w:cs="Arial"/>
      <w:color w:val="000000"/>
      <w:lang w:val="en-US" w:eastAsia="zh-CN"/>
    </w:rPr>
  </w:style>
  <w:style w:type="character" w:customStyle="1" w:styleId="BodyTextChar">
    <w:name w:val="Body Text Char"/>
    <w:basedOn w:val="DefaultParagraphFont"/>
    <w:link w:val="BodyText"/>
    <w:uiPriority w:val="99"/>
    <w:rsid w:val="00A07141"/>
    <w:rPr>
      <w:rFonts w:ascii="Arial" w:eastAsiaTheme="minorHAnsi" w:hAnsi="Arial" w:cs="Arial"/>
      <w:color w:val="000000"/>
      <w:lang w:val="en-US" w:eastAsia="zh-CN"/>
    </w:rPr>
  </w:style>
  <w:style w:type="character" w:styleId="CommentReference">
    <w:name w:val="annotation reference"/>
    <w:uiPriority w:val="99"/>
    <w:qFormat/>
    <w:rsid w:val="006E6894"/>
    <w:rPr>
      <w:sz w:val="16"/>
    </w:rPr>
  </w:style>
  <w:style w:type="character" w:customStyle="1" w:styleId="CommentTextChar">
    <w:name w:val="Comment Text Char"/>
    <w:link w:val="CommentText"/>
    <w:uiPriority w:val="99"/>
    <w:qFormat/>
    <w:rsid w:val="006E6894"/>
    <w:rPr>
      <w:lang w:eastAsia="en-US"/>
    </w:rPr>
  </w:style>
  <w:style w:type="paragraph" w:styleId="CommentText">
    <w:name w:val="annotation text"/>
    <w:basedOn w:val="Normal"/>
    <w:link w:val="CommentTextChar"/>
    <w:uiPriority w:val="99"/>
    <w:qFormat/>
    <w:rsid w:val="006E6894"/>
  </w:style>
  <w:style w:type="character" w:customStyle="1" w:styleId="CommentTextChar1">
    <w:name w:val="Comment Text Char1"/>
    <w:basedOn w:val="DefaultParagraphFont"/>
    <w:rsid w:val="006E6894"/>
    <w:rPr>
      <w:lang w:eastAsia="en-US"/>
    </w:rPr>
  </w:style>
  <w:style w:type="paragraph" w:styleId="HTMLPreformatted">
    <w:name w:val="HTML Preformatted"/>
    <w:basedOn w:val="Normal"/>
    <w:link w:val="HTMLPreformattedChar"/>
    <w:uiPriority w:val="99"/>
    <w:unhideWhenUsed/>
    <w:rsid w:val="00F42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en-US"/>
    </w:rPr>
  </w:style>
  <w:style w:type="character" w:customStyle="1" w:styleId="HTMLPreformattedChar">
    <w:name w:val="HTML Preformatted Char"/>
    <w:basedOn w:val="DefaultParagraphFont"/>
    <w:link w:val="HTMLPreformatted"/>
    <w:uiPriority w:val="99"/>
    <w:rsid w:val="00F4214B"/>
    <w:rPr>
      <w:rFonts w:ascii="Courier New" w:eastAsiaTheme="minorHAnsi" w:hAnsi="Courier New" w:cs="Courier New"/>
      <w:lang w:val="en-US" w:eastAsia="en-US"/>
    </w:rPr>
  </w:style>
  <w:style w:type="paragraph" w:styleId="CommentSubject">
    <w:name w:val="annotation subject"/>
    <w:basedOn w:val="CommentText"/>
    <w:next w:val="CommentText"/>
    <w:link w:val="CommentSubjectChar"/>
    <w:rsid w:val="00417CF3"/>
    <w:rPr>
      <w:b/>
      <w:bCs/>
    </w:rPr>
  </w:style>
  <w:style w:type="character" w:customStyle="1" w:styleId="CommentSubjectChar">
    <w:name w:val="Comment Subject Char"/>
    <w:basedOn w:val="CommentTextChar"/>
    <w:link w:val="CommentSubject"/>
    <w:rsid w:val="00417CF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361362">
      <w:bodyDiv w:val="1"/>
      <w:marLeft w:val="0"/>
      <w:marRight w:val="0"/>
      <w:marTop w:val="0"/>
      <w:marBottom w:val="0"/>
      <w:divBdr>
        <w:top w:val="none" w:sz="0" w:space="0" w:color="auto"/>
        <w:left w:val="none" w:sz="0" w:space="0" w:color="auto"/>
        <w:bottom w:val="none" w:sz="0" w:space="0" w:color="auto"/>
        <w:right w:val="none" w:sz="0" w:space="0" w:color="auto"/>
      </w:divBdr>
    </w:div>
    <w:div w:id="7823050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8457168">
      <w:bodyDiv w:val="1"/>
      <w:marLeft w:val="0"/>
      <w:marRight w:val="0"/>
      <w:marTop w:val="0"/>
      <w:marBottom w:val="0"/>
      <w:divBdr>
        <w:top w:val="none" w:sz="0" w:space="0" w:color="auto"/>
        <w:left w:val="none" w:sz="0" w:space="0" w:color="auto"/>
        <w:bottom w:val="none" w:sz="0" w:space="0" w:color="auto"/>
        <w:right w:val="none" w:sz="0" w:space="0" w:color="auto"/>
      </w:divBdr>
    </w:div>
    <w:div w:id="1084884992">
      <w:bodyDiv w:val="1"/>
      <w:marLeft w:val="0"/>
      <w:marRight w:val="0"/>
      <w:marTop w:val="0"/>
      <w:marBottom w:val="0"/>
      <w:divBdr>
        <w:top w:val="none" w:sz="0" w:space="0" w:color="auto"/>
        <w:left w:val="none" w:sz="0" w:space="0" w:color="auto"/>
        <w:bottom w:val="none" w:sz="0" w:space="0" w:color="auto"/>
        <w:right w:val="none" w:sz="0" w:space="0" w:color="auto"/>
      </w:divBdr>
    </w:div>
    <w:div w:id="11841755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256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4</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10410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Ali, Amaanat (Nokia - FI/Espoo)</dc:creator>
  <cp:lastModifiedBy>Nokia, Nokia Shanghai Bell</cp:lastModifiedBy>
  <cp:revision>6</cp:revision>
  <dcterms:created xsi:type="dcterms:W3CDTF">2018-12-03T16:39:00Z</dcterms:created>
  <dcterms:modified xsi:type="dcterms:W3CDTF">2018-12-10T06:55:00Z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